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105.EWJ</w:t>
      </w:r>
    </w:p>
    <w:p>
      <w:r>
        <w:t>市场: US</w:t>
      </w:r>
    </w:p>
    <w:p>
      <w:r>
        <w:t>日期: 20250520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2025-05-19: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1d</w:t>
      </w:r>
    </w:p>
    <w:p>
      <w:r>
        <w:t>【MACD背离】</w:t>
      </w:r>
    </w:p>
    <w:p>
      <w:r>
        <w:rPr>
          <w:color w:val="FF0000"/>
        </w:rPr>
        <w:t>2025-05-12 00:00:00 - MACD顶背离</w:t>
      </w:r>
    </w:p>
    <w:p>
      <w:r>
        <w:rPr>
          <w:color w:val="FF0000"/>
        </w:rPr>
        <w:t>2025-05-13 00:00:00 - MACD顶背离</w:t>
      </w:r>
    </w:p>
    <w:p>
      <w:r>
        <w:rPr>
          <w:color w:val="FF0000"/>
        </w:rPr>
        <w:t>2025-05-15 00:00:00 - MACD顶背离</w:t>
      </w:r>
    </w:p>
    <w:p>
      <w:r>
        <w:rPr>
          <w:color w:val="FF0000"/>
        </w:rPr>
        <w:t>2025-05-16 00:00:00 - MACD顶背离</w:t>
      </w:r>
    </w:p>
    <w:p>
      <w:r>
        <w:t>【KDJ背离】</w:t>
      </w:r>
    </w:p>
    <w:p>
      <w:r>
        <w:rPr>
          <w:color w:val="FF0000"/>
        </w:rPr>
        <w:t>2025-05-15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00:00:00 - 价格突破 (弱)</w:t>
      </w:r>
      <w:r>
        <w:br/>
        <w:t>突破20日高点 72.69，涨幅0.5%</w:t>
      </w:r>
    </w:p>
    <w:p>
      <w:r>
        <w:rPr>
          <w:color w:val="FF0000"/>
        </w:rPr>
        <w:t>2025-05-14 00:00:00 - 放量突破(强) (强)</w:t>
      </w:r>
      <w:r>
        <w:br/>
        <w:t>成交量放大2.9倍，10日均量3.6倍倍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当前无明显趋势特征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f) 1d周期：</w:t>
        <w:br/>
        <w:t xml:space="preserve">   MACD顶背离：4次</w:t>
        <w:br/>
        <w:t xml:space="preserve">   KDJ顶背离：1次</w:t>
        <w:br/>
        <w:t xml:space="preserve">   成交量突破：出现2次，其中1次为强信号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