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无显著交叉信号</w:t>
      </w:r>
    </w:p>
    <w:p>
      <w:r>
        <w:br/>
        <w:t>价格位置：</w:t>
      </w:r>
    </w:p>
    <w:p>
      <w:r>
        <w:t>2025-04-30: 价格位置中性</w:t>
      </w:r>
    </w:p>
    <w:p>
      <w:r>
        <w:t>2025-05-06: 价格位置中性</w:t>
      </w:r>
    </w:p>
    <w:p>
      <w:r>
        <w:t>2025-05-07: 价格位置中性</w:t>
      </w:r>
    </w:p>
    <w:p>
      <w:r>
        <w:t>2025-05-08: 价格位置中性</w:t>
      </w:r>
    </w:p>
    <w:p>
      <w:r>
        <w:t>2025-05-09: 价格位置中性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