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2025-05-28 00:00:00 - KDJ顶背离</w:t>
      </w:r>
    </w:p>
    <w:p>
      <w:r>
        <w:rPr>
          <w:color w:val="FF0000"/>
        </w:rPr>
        <w:t>2025-05-30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2025-05-27 00:00:00 - 价格突破 (弱)</w:t>
      </w:r>
      <w:r>
        <w:br/>
        <w:t>突破20日高点 73.14，涨幅0.6%</w:t>
      </w:r>
    </w:p>
    <w:p>
      <w:r>
        <w:rPr>
          <w:color w:val="008000"/>
        </w:rPr>
        <w:t>2025-06-02 00:00:00 - 价格突破 (弱)</w:t>
      </w:r>
      <w:r>
        <w:br/>
        <w:t>突破20日高点 74.97，涨幅0.8%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KDJ顶背离：2次</w:t>
        <w:br/>
        <w:t xml:space="preserve">   成交量突破：出现2次，均为弱信号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