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105.GLD</w:t>
      </w:r>
    </w:p>
    <w:p>
      <w:r>
        <w:t>市场: US</w:t>
      </w:r>
    </w:p>
    <w:p>
      <w:r>
        <w:t>日期: 20250605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2025-05-29: 中性区域 (支撑位: nan, 压力位: nan)</w:t>
      </w:r>
    </w:p>
    <w:p>
      <w:r>
        <w:t>2025-05-30: 中性区域 (支撑位: nan, 压力位: nan)</w:t>
      </w:r>
    </w:p>
    <w:p>
      <w:r>
        <w:t>2025-06-02: 中性区域 (支撑位: nan, 压力位: nan)</w:t>
      </w:r>
    </w:p>
    <w:p>
      <w:r>
        <w:t>2025-06-03: 中性区域 (支撑位: nan, 压力位: nan)</w:t>
      </w:r>
    </w:p>
    <w:p>
      <w:r>
        <w:t>2025-06-04: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1d</w:t>
      </w:r>
    </w:p>
    <w:p>
      <w:r>
        <w:t>【MACD背离】</w:t>
      </w:r>
    </w:p>
    <w:p>
      <w:r>
        <w:t>MACD背离 无信号</w:t>
      </w:r>
    </w:p>
    <w:p>
      <w:r>
        <w:t>【KDJ背离】</w:t>
      </w:r>
    </w:p>
    <w:p>
      <w:r>
        <w:rPr>
          <w:color w:val="FF0000"/>
        </w:rPr>
        <w:t>2025-05-29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当前无明显趋势特征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f) 1d周期：</w:t>
        <w:br/>
        <w:t xml:space="preserve">   KDJ顶背离：1次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