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105.GLD</w:t>
      </w:r>
    </w:p>
    <w:p>
      <w:r>
        <w:t>市场: US</w:t>
      </w:r>
    </w:p>
    <w:p>
      <w:r>
        <w:t>日期: 20250612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2025-06-05: 中性区域 (支撑位: nan, 压力位: nan)</w:t>
      </w:r>
    </w:p>
    <w:p>
      <w:r>
        <w:t>2025-06-06: 中性区域 (支撑位: nan, 压力位: nan)</w:t>
      </w:r>
    </w:p>
    <w:p>
      <w:r>
        <w:t>2025-06-09: 中性区域 (支撑位: nan, 压力位: nan)</w:t>
      </w:r>
    </w:p>
    <w:p>
      <w:r>
        <w:t>2025-06-10: 中性区域 (支撑位: nan, 压力位: nan)</w:t>
      </w:r>
    </w:p>
    <w:p>
      <w:r>
        <w:t>2025-06-11: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rPr>
          <w:color w:val="0000FF"/>
        </w:rPr>
        <w:t>2025-06-04 00:00:00 - MACD底背离</w:t>
      </w:r>
    </w:p>
    <w:p>
      <w:r>
        <w:rPr>
          <w:color w:val="FF0000"/>
        </w:rPr>
        <w:t>2025-06-10 00:00:00 - MACD顶背离</w:t>
      </w:r>
    </w:p>
    <w:p>
      <w:r>
        <w:t>【KDJ背离】</w:t>
      </w:r>
    </w:p>
    <w:p>
      <w:r>
        <w:rPr>
          <w:color w:val="0000FF"/>
        </w:rPr>
        <w:t>2025-06-04 00:00:00 - KDJ底背离</w:t>
      </w:r>
    </w:p>
    <w:p>
      <w:r>
        <w:rPr>
          <w:color w:val="FF0000"/>
        </w:rPr>
        <w:t>2025-06-05 00:00:00 - KDJ顶背离</w:t>
      </w:r>
    </w:p>
    <w:p>
      <w:r>
        <w:rPr>
          <w:color w:val="FF0000"/>
        </w:rPr>
        <w:t>2025-06-10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MACD背离：顶背离1次，底背离1次</w:t>
        <w:br/>
        <w:t xml:space="preserve">   KDJ背离：顶背离2次，底背离1次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