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线性回归的计算方法很多，比如最小二乘，梯度下降，今天分享一种矩阵求导计算方法，并且将其与投影联系，可以更加感性的了解线性回归的计算原理。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Normal Equations 的由来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假设我们有m个样本。特征向量的维度为n。因此，可知样本为{(x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(1)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(1)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), (x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(2)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(2)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),... ..., (x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(m)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(m)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)},其中对于每一个样本中的x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(i)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,都有x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(i)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={x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(i)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(i)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,... ...,x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(i)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}。令 H(θ)=θ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0 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+ θ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+θ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+... + θ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，则有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"http://images.cnitblog.com/blog/189953/201305/20163243-b056a8c9e9214ac48c4298197c931eec.jpg"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7640" cy="1708150"/>
            <wp:effectExtent l="0" t="0" r="10160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若希望H(θ)=Y，则有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 · θ =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我们先来回忆一下两个概念：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单位矩阵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 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矩阵的逆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，看看它们有什么性质。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（1）单位矩阵E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AE=EA=A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（2）矩阵的逆A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要求：A必须为方阵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性质：AA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A=E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再来看看式子 X · θ = 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若想求出θ，那么我们需要做一些转换：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step1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：先把θ左边的矩阵变成一个方阵。通过乘以X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可以实现，则有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 · θ =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step2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：把θ左边的部分变成一个单位矩阵，这样就可以让它消失于无形了……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(X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X)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X) · θ = 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(X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X)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step3：由于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(X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X)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X) = E，因此式子变为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Eθ = 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(X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</w:rPr>
        <w:t>X)</w:t>
      </w:r>
      <w:r>
        <w:rPr>
          <w:rFonts w:hint="default" w:ascii="Verdana" w:hAnsi="Verdana" w:cs="Verdana"/>
          <w:b w:val="0"/>
          <w:i w:val="0"/>
          <w:caps w:val="0"/>
          <w:color w:val="339966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E可以去掉，因此得到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θ = (X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X)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-1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T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这就是我们所说的Normal Equation了。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Normal Equation VS Gradient Descent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Normal Equation 跟 Gradient Descent（梯度下降）一样，可以用来求权重向量θ。但它与Gradient Descent相比，既有优势也有劣势。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优势：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Normal Equation可以不在意x特征的scale。比如，有特征向量X={x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, 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}, 其中x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的range为1~2000，而x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的range为1~4，可以看到它们的范围相差了500倍。如果使用Gradient Descent方法的话，会导致椭圆变得很窄很长，而出现梯度下降困难，甚至无法下降梯度（因为导数乘上步长后可能会冲出椭圆的外面）。但是，如果用Normal Equation方法的话，就不用担心这个问题了。因为它是纯粹的矩阵算法。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劣势：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相比于Gradient Descent，Normal Equation需要大量的矩阵运算，特别是求矩阵的逆。在矩阵很大的情况下，会大大增加计算复杂性以及对计算机内存容量的要求。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bdr w:val="none" w:color="auto" w:sz="0" w:space="0"/>
          <w:shd w:val="clear" w:fill="FFFFFF"/>
        </w:rPr>
        <w:t>什么情况下会出现Normal Equation，该如何应对？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（1）当特征向量的维度过多时（如，m &lt;= n 时）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解决方法：① 使用regularization方式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　or ②delete一些特征维度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（2）有redundant features（也称为linearly dependent feature）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例如，　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 size in feet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= size in 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feet和m的换算为 1m≈3.28feet所以，x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≈ 3.28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2 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 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因此x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是线性相关的（也可以说x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之间有一个是冗余的）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解决方法：找出冗余的特征维度，删除之。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i w:val="0"/>
          <w:caps w:val="0"/>
          <w:color w:val="111111"/>
          <w:spacing w:val="0"/>
          <w:sz w:val="48"/>
          <w:szCs w:val="48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DFDFD"/>
        </w:rPr>
        <w:t>计算推导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令矩阵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A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是系数矩阵,且A的列线性独立，一般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A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的第一列或最后一列是1，用于表示截距，但是这对我们的推导没有任何影响。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shd w:val="clear" w:fill="FDFDFD"/>
        </w:rPr>
        <w:t>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是我们的目标结果。现在需要计算一个权重向量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w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，使得差的平方错误最小，记作: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250507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4"/>
          <w:szCs w:val="24"/>
          <w:shd w:val="clear" w:fill="FDFDFD"/>
        </w:rPr>
        <w:t>对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kern w:val="0"/>
          <w:sz w:val="29"/>
          <w:szCs w:val="29"/>
          <w:shd w:val="clear" w:fill="FDFDFD"/>
          <w:lang w:val="en-US" w:eastAsia="zh-CN" w:bidi="ar"/>
        </w:rPr>
        <w:t>E</w:t>
      </w:r>
      <w:r>
        <w:rPr>
          <w:rFonts w:hint="default" w:ascii="Times New Roman" w:hAnsi="Times New Roman" w:eastAsia="MJXc-TeX-main-R" w:cs="Times New Roman"/>
          <w:b w:val="0"/>
          <w:i w:val="0"/>
          <w:caps w:val="0"/>
          <w:color w:val="111111"/>
          <w:spacing w:val="0"/>
          <w:kern w:val="0"/>
          <w:sz w:val="29"/>
          <w:szCs w:val="29"/>
          <w:shd w:val="clear" w:fill="FDFDFD"/>
          <w:lang w:val="en-US" w:eastAsia="zh-CN" w:bidi="ar"/>
        </w:rPr>
        <w:t>(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kern w:val="0"/>
          <w:sz w:val="29"/>
          <w:szCs w:val="29"/>
          <w:shd w:val="clear" w:fill="FDFDFD"/>
          <w:lang w:val="en-US" w:eastAsia="zh-CN" w:bidi="ar"/>
        </w:rPr>
        <w:t>w</w:t>
      </w:r>
      <w:r>
        <w:rPr>
          <w:rFonts w:hint="default" w:ascii="Times New Roman" w:hAnsi="Times New Roman" w:eastAsia="MJXc-TeX-main-R" w:cs="Times New Roman"/>
          <w:b w:val="0"/>
          <w:i w:val="0"/>
          <w:caps w:val="0"/>
          <w:color w:val="111111"/>
          <w:spacing w:val="0"/>
          <w:kern w:val="0"/>
          <w:sz w:val="29"/>
          <w:szCs w:val="29"/>
          <w:shd w:val="clear" w:fill="FDFDFD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4"/>
          <w:szCs w:val="24"/>
          <w:shd w:val="clear" w:fill="FDFDFD"/>
        </w:rPr>
        <w:t>做相关变化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3666490" cy="866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111111"/>
          <w:spacing w:val="0"/>
          <w:sz w:val="29"/>
          <w:szCs w:val="29"/>
          <w:shd w:val="clear" w:fill="FDFDFD"/>
          <w:lang w:eastAsia="zh-CN"/>
        </w:rPr>
        <w:t>因为</w:t>
      </w:r>
      <w:r>
        <w:drawing>
          <wp:inline distT="0" distB="0" distL="114300" distR="114300">
            <wp:extent cx="9810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为一个</w:t>
      </w:r>
      <w:r>
        <w:rPr>
          <w:rFonts w:hint="eastAsia"/>
          <w:lang w:val="en-US" w:eastAsia="zh-CN"/>
        </w:rPr>
        <w:t>1×1的数，所以对其进行转置不变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56965" cy="13430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shd w:val="clear" w:fill="FDFDFD"/>
        </w:rPr>
        <w:t>E</w:t>
      </w:r>
      <w:r>
        <w:rPr>
          <w:rFonts w:hint="default" w:ascii="Times New Roman" w:hAnsi="Times New Roman" w:eastAsia="MJXc-TeX-main-R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(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w</w:t>
      </w:r>
      <w:r>
        <w:rPr>
          <w:rFonts w:hint="default" w:ascii="Times New Roman" w:hAnsi="Times New Roman" w:eastAsia="MJXc-TeX-main-R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)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是个凸函数，最小值在所有偏导为0的地方，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2599690" cy="523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上面的计算使用了向量求导的相关计算，参考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instrText xml:space="preserve"> HYPERLINK "http://bourneli.github.io/linear-algebra/calculus/2016/04/28/linear-algebra-11-derivate-of-linear-regression.html"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separate"/>
      </w:r>
      <w:r>
        <w:rPr>
          <w:rStyle w:val="6"/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t>线代随笔11-线性回归相关的向量求导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end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。由于A的列线性独立，所以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instrText xml:space="preserve"> HYPERLINK "http://bourneli.github.io/linear-algebra/2016/03/03/linear-algebra-04-ATA-inverse.html"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separate"/>
      </w:r>
      <w:r>
        <w:rPr>
          <w:rStyle w:val="6"/>
          <w:rFonts w:hint="default" w:ascii="Times New Roman" w:hAnsi="Times New Roman" w:eastAsia="MJXc-TeX-math-I" w:cs="Times New Roman"/>
          <w:b w:val="0"/>
          <w:i w:val="0"/>
          <w:caps w:val="0"/>
          <w:color w:val="1756A9"/>
          <w:spacing w:val="0"/>
          <w:sz w:val="29"/>
          <w:szCs w:val="29"/>
          <w:u w:val="none"/>
          <w:bdr w:val="none" w:color="auto" w:sz="0" w:space="0"/>
          <w:shd w:val="clear" w:fill="FDFDFD"/>
        </w:rPr>
        <w:t>A</w:t>
      </w:r>
      <w:r>
        <w:rPr>
          <w:rStyle w:val="6"/>
          <w:rFonts w:hint="default" w:ascii="Times New Roman" w:hAnsi="Times New Roman" w:eastAsia="MJXc-TeX-math-I" w:cs="Times New Roman"/>
          <w:b w:val="0"/>
          <w:i w:val="0"/>
          <w:caps w:val="0"/>
          <w:color w:val="1756A9"/>
          <w:spacing w:val="0"/>
          <w:sz w:val="20"/>
          <w:szCs w:val="20"/>
          <w:u w:val="none"/>
          <w:shd w:val="clear" w:fill="FDFDFD"/>
        </w:rPr>
        <w:t>T</w:t>
      </w:r>
      <w:r>
        <w:rPr>
          <w:rStyle w:val="6"/>
          <w:rFonts w:hint="default" w:ascii="Times New Roman" w:hAnsi="Times New Roman" w:eastAsia="MJXc-TeX-math-I" w:cs="Times New Roman"/>
          <w:b w:val="0"/>
          <w:i w:val="0"/>
          <w:caps w:val="0"/>
          <w:color w:val="1756A9"/>
          <w:spacing w:val="0"/>
          <w:sz w:val="29"/>
          <w:szCs w:val="29"/>
          <w:u w:val="none"/>
          <w:bdr w:val="none" w:color="auto" w:sz="0" w:space="0"/>
          <w:shd w:val="clear" w:fill="FDFDFD"/>
        </w:rPr>
        <w:t>A</w:t>
      </w:r>
      <w:r>
        <w:rPr>
          <w:rStyle w:val="6"/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9"/>
          <w:szCs w:val="29"/>
          <w:u w:val="none"/>
          <w:bdr w:val="none" w:color="auto" w:sz="0" w:space="0"/>
          <w:shd w:val="clear" w:fill="FDFDFD"/>
        </w:rPr>
        <w:t>ATA</w:t>
      </w:r>
      <w:r>
        <w:rPr>
          <w:rStyle w:val="6"/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t>可逆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end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，化简上述公式，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2047875" cy="885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推导完毕！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eastAsia" w:ascii="Times New Roman" w:hAnsi="Times New Roman" w:eastAsia="微软雅黑" w:cs="Times New Roman"/>
          <w:b/>
          <w:bCs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  <w:lang w:eastAsia="zh-CN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  <w:lang w:eastAsia="zh-CN"/>
        </w:rPr>
        <w:t>相关矩阵导数求解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48"/>
          <w:szCs w:val="4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24"/>
          <w:szCs w:val="24"/>
          <w:shd w:val="clear" w:fill="FDFDFD"/>
        </w:rPr>
        <w:t>线性回归的计算推导方法有许多，其中有一种使用矩阵运算，涉及到标量对向量的求导，本文主要介绍相关的两个向量求导计算过程</w:t>
      </w:r>
      <w:r>
        <w:drawing>
          <wp:inline distT="0" distB="0" distL="114300" distR="114300">
            <wp:extent cx="1362075" cy="371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5267325" cy="1568450"/>
            <wp:effectExtent l="0" t="0" r="952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1588135" cy="270510"/>
            <wp:effectExtent l="0" t="0" r="1206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jc w:val="center"/>
      </w:pPr>
      <w:r>
        <w:drawing>
          <wp:inline distT="0" distB="0" distL="114300" distR="114300">
            <wp:extent cx="4591050" cy="8921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</w:pPr>
      <w:r>
        <w:drawing>
          <wp:inline distT="0" distB="0" distL="114300" distR="114300">
            <wp:extent cx="1696720" cy="241935"/>
            <wp:effectExtent l="0" t="0" r="1778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jc w:val="center"/>
        <w:rPr>
          <w:rFonts w:hint="default"/>
        </w:rPr>
      </w:pPr>
      <w:r>
        <w:drawing>
          <wp:inline distT="0" distB="0" distL="114300" distR="114300">
            <wp:extent cx="4759325" cy="103505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111111"/>
          <w:spacing w:val="0"/>
          <w:sz w:val="28"/>
          <w:szCs w:val="28"/>
          <w:bdr w:val="none" w:color="auto" w:sz="0" w:space="0"/>
          <w:shd w:val="clear" w:fill="FDFDFD"/>
        </w:rPr>
        <w:t>线性回归与投影的关系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225" w:afterAutospacing="0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上述结果与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instrText xml:space="preserve"> HYPERLINK "http://bourneli.github.io/linear-algebra/2016/03/05/linear-algebra-05-projection-and-linear-regression.html"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separate"/>
      </w:r>
      <w:r>
        <w:rPr>
          <w:rStyle w:val="6"/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t>投影系数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756A9"/>
          <w:spacing w:val="0"/>
          <w:sz w:val="24"/>
          <w:szCs w:val="24"/>
          <w:u w:val="none"/>
          <w:bdr w:val="none" w:color="auto" w:sz="0" w:space="0"/>
          <w:shd w:val="clear" w:fill="FDFDFD"/>
        </w:rPr>
        <w:fldChar w:fldCharType="end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的计算公式一致。这不是巧合，线性回归的本质是找到一个线性组合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w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w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，使得因变量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shd w:val="clear" w:fill="FDFDFD"/>
        </w:rPr>
        <w:t>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被由自变量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A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A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的列的线性组合表示。但实际情况，绝大多数是无法找到这种完美的解。那么采取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shd w:val="clear" w:fill="FDFDFD"/>
        </w:rPr>
        <w:t>C</w:t>
      </w:r>
      <w:r>
        <w:rPr>
          <w:rFonts w:hint="default" w:ascii="Times New Roman" w:hAnsi="Times New Roman" w:eastAsia="MJXc-TeX-main-R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(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A</w:t>
      </w:r>
      <w:r>
        <w:rPr>
          <w:rFonts w:hint="default" w:ascii="Times New Roman" w:hAnsi="Times New Roman" w:eastAsia="MJXc-TeX-main-R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)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C(A)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中与</w:t>
      </w:r>
      <w:r>
        <w:rPr>
          <w:rFonts w:hint="default" w:ascii="Times New Roman" w:hAnsi="Times New Roman" w:eastAsia="MJXc-TeX-math-I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b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9"/>
          <w:szCs w:val="29"/>
          <w:bdr w:val="none" w:color="auto" w:sz="0" w:space="0"/>
          <w:shd w:val="clear" w:fill="FDFDFD"/>
        </w:rPr>
        <w:t>b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DFDFD"/>
        </w:rPr>
        <w:t>最近的向量作为其近似解。这个最近的向量，通过上面的推导，就是投影系数。可以想象一下三维空间中，直线投影到平面，通过三角关系，可以发现最近的向量是垂直的投影向量。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F3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2017-06-03T07:20:40Z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