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300"/>
        <w:jc w:val="center"/>
      </w:pPr>
      <w:r>
        <w:drawing>
          <wp:inline xmlns:a="http://schemas.openxmlformats.org/drawingml/2006/main" xmlns:pic="http://schemas.openxmlformats.org/drawingml/2006/picture">
            <wp:extent cx="1828800" cy="1828800"/>
            <wp:docPr id="1" name="Picture 1"/>
            <wp:cNvGraphicFramePr>
              <a:graphicFrameLocks noChangeAspect="1"/>
            </wp:cNvGraphicFramePr>
            <a:graphic>
              <a:graphicData uri="http://schemas.openxmlformats.org/drawingml/2006/picture">
                <pic:pic>
                  <pic:nvPicPr>
                    <pic:cNvPr id="0" name="Acads_Catch_UPp-removebg-preview.png"/>
                    <pic:cNvPicPr/>
                  </pic:nvPicPr>
                  <pic:blipFill>
                    <a:blip r:embed="rId9"/>
                    <a:stretch>
                      <a:fillRect/>
                    </a:stretch>
                  </pic:blipFill>
                  <pic:spPr>
                    <a:xfrm>
                      <a:off x="0" y="0"/>
                      <a:ext cx="1828800" cy="1828800"/>
                    </a:xfrm>
                    <a:prstGeom prst="rect"/>
                  </pic:spPr>
                </pic:pic>
              </a:graphicData>
            </a:graphic>
          </wp:inline>
        </w:drawing>
      </w:r>
    </w:p>
    <w:p>
      <w:pPr>
        <w:spacing w:before="200" w:after="120"/>
        <w:jc w:val="center"/>
      </w:pPr>
      <w:r>
        <w:rPr>
          <w:rFonts w:ascii="Arial" w:hAnsi="Arial"/>
          <w:b/>
          <w:color w:val="1A237E"/>
          <w:sz w:val="60"/>
        </w:rPr>
        <w:t>AcadsCatchUp</w:t>
      </w:r>
    </w:p>
    <w:p>
      <w:pPr>
        <w:spacing w:before="0" w:after="500"/>
        <w:jc w:val="center"/>
      </w:pPr>
      <w:r>
        <w:rPr>
          <w:rFonts w:ascii="Calibri" w:hAnsi="Calibri"/>
          <w:b/>
          <w:color w:val="5865F2"/>
          <w:sz w:val="30"/>
        </w:rPr>
        <w:t>Comprehensive System Documentation &amp; Technical Reference Manual</w:t>
      </w:r>
    </w:p>
    <w:tbl>
      <w:tblPr>
        <w:tblW w:type="auto" w:w="0"/>
        <w:jc w:val="center"/>
        <w:tblLook w:firstColumn="1" w:firstRow="1" w:lastColumn="0" w:lastRow="0" w:noHBand="0" w:noVBand="1" w:val="04A0"/>
      </w:tblPr>
      <w:tblGrid>
        <w:gridCol w:w="4824"/>
        <w:gridCol w:w="4824"/>
      </w:tblGrid>
      <w:tr>
        <w:tc>
          <w:tcPr>
            <w:tcW w:type="dxa" w:w="3168"/>
            <w:shd w:fill="F1F5F9"/>
            <w:tcMar>
              <w:top w:w="100" w:type="dxa"/>
              <w:bottom w:w="100" w:type="dxa"/>
              <w:left w:w="150" w:type="dxa"/>
              <w:right w:w="150" w:type="dxa"/>
            </w:tcMar>
            <w:tcBorders>
              <w:top w:val="single" w:sz="4" w:space="0" w:color="CBD5E1"/>
              <w:left w:val="single" w:sz="4" w:space="0" w:color="CBD5E1"/>
              <w:bottom w:val="single" w:sz="4" w:space="0" w:color="CBD5E1"/>
              <w:right w:val="single" w:sz="4" w:space="0" w:color="CBD5E1"/>
            </w:tcBorders>
          </w:tcPr>
          <w:p>
            <w:pPr>
              <w:spacing w:before="40" w:after="40"/>
            </w:pPr>
            <w:r>
              <w:rPr>
                <w:b/>
                <w:color w:val="334155"/>
                <w:sz w:val="19"/>
              </w:rPr>
              <w:t>Document Type</w:t>
            </w:r>
          </w:p>
        </w:tc>
        <w:tc>
          <w:tcPr>
            <w:tcW w:type="dxa" w:w="6192"/>
            <w:shd w:fill="FFFFFF"/>
            <w:tcMar>
              <w:top w:w="100" w:type="dxa"/>
              <w:bottom w:w="100" w:type="dxa"/>
              <w:left w:w="150" w:type="dxa"/>
              <w:right w:w="150" w:type="dxa"/>
            </w:tcMar>
            <w:tcBorders>
              <w:top w:val="single" w:sz="4" w:space="0" w:color="CBD5E1"/>
              <w:left w:val="single" w:sz="4" w:space="0" w:color="CBD5E1"/>
              <w:bottom w:val="single" w:sz="4" w:space="0" w:color="CBD5E1"/>
              <w:right w:val="single" w:sz="4" w:space="0" w:color="CBD5E1"/>
            </w:tcBorders>
          </w:tcPr>
          <w:p>
            <w:pPr>
              <w:spacing w:before="40" w:after="40"/>
            </w:pPr>
            <w:r>
              <w:rPr>
                <w:color w:val="0F172A"/>
                <w:sz w:val="19"/>
              </w:rPr>
              <w:t>System Specification &amp; Technical Reference Manual</w:t>
            </w:r>
          </w:p>
        </w:tc>
      </w:tr>
      <w:tr>
        <w:tc>
          <w:tcPr>
            <w:tcW w:type="dxa" w:w="3168"/>
            <w:shd w:fill="F1F5F9"/>
            <w:tcMar>
              <w:top w:w="100" w:type="dxa"/>
              <w:bottom w:w="100" w:type="dxa"/>
              <w:left w:w="150" w:type="dxa"/>
              <w:right w:w="150" w:type="dxa"/>
            </w:tcMar>
            <w:tcBorders>
              <w:top w:val="single" w:sz="4" w:space="0" w:color="CBD5E1"/>
              <w:left w:val="single" w:sz="4" w:space="0" w:color="CBD5E1"/>
              <w:bottom w:val="single" w:sz="4" w:space="0" w:color="CBD5E1"/>
              <w:right w:val="single" w:sz="4" w:space="0" w:color="CBD5E1"/>
            </w:tcBorders>
          </w:tcPr>
          <w:p>
            <w:pPr>
              <w:spacing w:before="40" w:after="40"/>
            </w:pPr>
            <w:r>
              <w:rPr>
                <w:b/>
                <w:color w:val="334155"/>
                <w:sz w:val="19"/>
              </w:rPr>
              <w:t>Target System</w:t>
            </w:r>
          </w:p>
        </w:tc>
        <w:tc>
          <w:tcPr>
            <w:tcW w:type="dxa" w:w="6192"/>
            <w:shd w:fill="FFFFFF"/>
            <w:tcMar>
              <w:top w:w="100" w:type="dxa"/>
              <w:bottom w:w="100" w:type="dxa"/>
              <w:left w:w="150" w:type="dxa"/>
              <w:right w:w="150" w:type="dxa"/>
            </w:tcMar>
            <w:tcBorders>
              <w:top w:val="single" w:sz="4" w:space="0" w:color="CBD5E1"/>
              <w:left w:val="single" w:sz="4" w:space="0" w:color="CBD5E1"/>
              <w:bottom w:val="single" w:sz="4" w:space="0" w:color="CBD5E1"/>
              <w:right w:val="single" w:sz="4" w:space="0" w:color="CBD5E1"/>
            </w:tcBorders>
          </w:tcPr>
          <w:p>
            <w:pPr>
              <w:spacing w:before="40" w:after="40"/>
            </w:pPr>
            <w:r>
              <w:rPr>
                <w:color w:val="0F172A"/>
                <w:sz w:val="19"/>
              </w:rPr>
              <w:t>AcadsCatchUp (Academic Deficiency &amp; Make-up Manager)</w:t>
            </w:r>
          </w:p>
        </w:tc>
      </w:tr>
      <w:tr>
        <w:tc>
          <w:tcPr>
            <w:tcW w:type="dxa" w:w="3168"/>
            <w:shd w:fill="F1F5F9"/>
            <w:tcMar>
              <w:top w:w="100" w:type="dxa"/>
              <w:bottom w:w="100" w:type="dxa"/>
              <w:left w:w="150" w:type="dxa"/>
              <w:right w:w="150" w:type="dxa"/>
            </w:tcMar>
            <w:tcBorders>
              <w:top w:val="single" w:sz="4" w:space="0" w:color="CBD5E1"/>
              <w:left w:val="single" w:sz="4" w:space="0" w:color="CBD5E1"/>
              <w:bottom w:val="single" w:sz="4" w:space="0" w:color="CBD5E1"/>
              <w:right w:val="single" w:sz="4" w:space="0" w:color="CBD5E1"/>
            </w:tcBorders>
          </w:tcPr>
          <w:p>
            <w:pPr>
              <w:spacing w:before="40" w:after="40"/>
            </w:pPr>
            <w:r>
              <w:rPr>
                <w:b/>
                <w:color w:val="334155"/>
                <w:sz w:val="19"/>
              </w:rPr>
              <w:t>Lead Developer &amp; Architect</w:t>
            </w:r>
          </w:p>
        </w:tc>
        <w:tc>
          <w:tcPr>
            <w:tcW w:type="dxa" w:w="6192"/>
            <w:shd w:fill="FFFFFF"/>
            <w:tcMar>
              <w:top w:w="100" w:type="dxa"/>
              <w:bottom w:w="100" w:type="dxa"/>
              <w:left w:w="150" w:type="dxa"/>
              <w:right w:w="150" w:type="dxa"/>
            </w:tcMar>
            <w:tcBorders>
              <w:top w:val="single" w:sz="4" w:space="0" w:color="CBD5E1"/>
              <w:left w:val="single" w:sz="4" w:space="0" w:color="CBD5E1"/>
              <w:bottom w:val="single" w:sz="4" w:space="0" w:color="CBD5E1"/>
              <w:right w:val="single" w:sz="4" w:space="0" w:color="CBD5E1"/>
            </w:tcBorders>
          </w:tcPr>
          <w:p>
            <w:pPr>
              <w:spacing w:before="40" w:after="40"/>
            </w:pPr>
            <w:r>
              <w:rPr>
                <w:color w:val="0F172A"/>
                <w:sz w:val="19"/>
              </w:rPr>
              <w:t>Stevenson James G. Gastanes (F4TAL)</w:t>
            </w:r>
          </w:p>
        </w:tc>
      </w:tr>
      <w:tr>
        <w:tc>
          <w:tcPr>
            <w:tcW w:type="dxa" w:w="3168"/>
            <w:shd w:fill="F1F5F9"/>
            <w:tcMar>
              <w:top w:w="100" w:type="dxa"/>
              <w:bottom w:w="100" w:type="dxa"/>
              <w:left w:w="150" w:type="dxa"/>
              <w:right w:w="150" w:type="dxa"/>
            </w:tcMar>
            <w:tcBorders>
              <w:top w:val="single" w:sz="4" w:space="0" w:color="CBD5E1"/>
              <w:left w:val="single" w:sz="4" w:space="0" w:color="CBD5E1"/>
              <w:bottom w:val="single" w:sz="4" w:space="0" w:color="CBD5E1"/>
              <w:right w:val="single" w:sz="4" w:space="0" w:color="CBD5E1"/>
            </w:tcBorders>
          </w:tcPr>
          <w:p>
            <w:pPr>
              <w:spacing w:before="40" w:after="40"/>
            </w:pPr>
            <w:r>
              <w:rPr>
                <w:b/>
                <w:color w:val="334155"/>
                <w:sz w:val="19"/>
              </w:rPr>
              <w:t>Documentation Author</w:t>
            </w:r>
          </w:p>
        </w:tc>
        <w:tc>
          <w:tcPr>
            <w:tcW w:type="dxa" w:w="6192"/>
            <w:shd w:fill="FFFFFF"/>
            <w:tcMar>
              <w:top w:w="100" w:type="dxa"/>
              <w:bottom w:w="100" w:type="dxa"/>
              <w:left w:w="150" w:type="dxa"/>
              <w:right w:w="150" w:type="dxa"/>
            </w:tcMar>
            <w:tcBorders>
              <w:top w:val="single" w:sz="4" w:space="0" w:color="CBD5E1"/>
              <w:left w:val="single" w:sz="4" w:space="0" w:color="CBD5E1"/>
              <w:bottom w:val="single" w:sz="4" w:space="0" w:color="CBD5E1"/>
              <w:right w:val="single" w:sz="4" w:space="0" w:color="CBD5E1"/>
            </w:tcBorders>
          </w:tcPr>
          <w:p>
            <w:pPr>
              <w:spacing w:before="40" w:after="40"/>
            </w:pPr>
            <w:r>
              <w:rPr>
                <w:color w:val="0F172A"/>
                <w:sz w:val="19"/>
              </w:rPr>
              <w:t>@n-mee (Jnzl)</w:t>
            </w:r>
          </w:p>
        </w:tc>
      </w:tr>
      <w:tr>
        <w:tc>
          <w:tcPr>
            <w:tcW w:type="dxa" w:w="3168"/>
            <w:shd w:fill="F1F5F9"/>
            <w:tcMar>
              <w:top w:w="100" w:type="dxa"/>
              <w:bottom w:w="100" w:type="dxa"/>
              <w:left w:w="150" w:type="dxa"/>
              <w:right w:w="150" w:type="dxa"/>
            </w:tcMar>
            <w:tcBorders>
              <w:top w:val="single" w:sz="4" w:space="0" w:color="CBD5E1"/>
              <w:left w:val="single" w:sz="4" w:space="0" w:color="CBD5E1"/>
              <w:bottom w:val="single" w:sz="4" w:space="0" w:color="CBD5E1"/>
              <w:right w:val="single" w:sz="4" w:space="0" w:color="CBD5E1"/>
            </w:tcBorders>
          </w:tcPr>
          <w:p>
            <w:pPr>
              <w:spacing w:before="40" w:after="40"/>
            </w:pPr>
            <w:r>
              <w:rPr>
                <w:b/>
                <w:color w:val="334155"/>
                <w:sz w:val="19"/>
              </w:rPr>
              <w:t>Production Version</w:t>
            </w:r>
          </w:p>
        </w:tc>
        <w:tc>
          <w:tcPr>
            <w:tcW w:type="dxa" w:w="6192"/>
            <w:shd w:fill="FFFFFF"/>
            <w:tcMar>
              <w:top w:w="100" w:type="dxa"/>
              <w:bottom w:w="100" w:type="dxa"/>
              <w:left w:w="150" w:type="dxa"/>
              <w:right w:w="150" w:type="dxa"/>
            </w:tcMar>
            <w:tcBorders>
              <w:top w:val="single" w:sz="4" w:space="0" w:color="CBD5E1"/>
              <w:left w:val="single" w:sz="4" w:space="0" w:color="CBD5E1"/>
              <w:bottom w:val="single" w:sz="4" w:space="0" w:color="CBD5E1"/>
              <w:right w:val="single" w:sz="4" w:space="0" w:color="CBD5E1"/>
            </w:tcBorders>
          </w:tcPr>
          <w:p>
            <w:pPr>
              <w:spacing w:before="40" w:after="40"/>
            </w:pPr>
            <w:r>
              <w:rPr>
                <w:color w:val="0F172A"/>
                <w:sz w:val="19"/>
              </w:rPr>
              <w:t>v1.1.0-PROD-F4TAL (Java 21 LTS)</w:t>
            </w:r>
          </w:p>
        </w:tc>
      </w:tr>
      <w:tr>
        <w:tc>
          <w:tcPr>
            <w:tcW w:type="dxa" w:w="3168"/>
            <w:shd w:fill="F1F5F9"/>
            <w:tcMar>
              <w:top w:w="100" w:type="dxa"/>
              <w:bottom w:w="100" w:type="dxa"/>
              <w:left w:w="150" w:type="dxa"/>
              <w:right w:w="150" w:type="dxa"/>
            </w:tcMar>
            <w:tcBorders>
              <w:top w:val="single" w:sz="4" w:space="0" w:color="CBD5E1"/>
              <w:left w:val="single" w:sz="4" w:space="0" w:color="CBD5E1"/>
              <w:bottom w:val="single" w:sz="4" w:space="0" w:color="CBD5E1"/>
              <w:right w:val="single" w:sz="4" w:space="0" w:color="CBD5E1"/>
            </w:tcBorders>
          </w:tcPr>
          <w:p>
            <w:pPr>
              <w:spacing w:before="40" w:after="40"/>
            </w:pPr>
            <w:r>
              <w:rPr>
                <w:b/>
                <w:color w:val="334155"/>
                <w:sz w:val="19"/>
              </w:rPr>
              <w:t>Institutional Alignment</w:t>
            </w:r>
          </w:p>
        </w:tc>
        <w:tc>
          <w:tcPr>
            <w:tcW w:type="dxa" w:w="6192"/>
            <w:shd w:fill="FFFFFF"/>
            <w:tcMar>
              <w:top w:w="100" w:type="dxa"/>
              <w:bottom w:w="100" w:type="dxa"/>
              <w:left w:w="150" w:type="dxa"/>
              <w:right w:w="150" w:type="dxa"/>
            </w:tcMar>
            <w:tcBorders>
              <w:top w:val="single" w:sz="4" w:space="0" w:color="CBD5E1"/>
              <w:left w:val="single" w:sz="4" w:space="0" w:color="CBD5E1"/>
              <w:bottom w:val="single" w:sz="4" w:space="0" w:color="CBD5E1"/>
              <w:right w:val="single" w:sz="4" w:space="0" w:color="CBD5E1"/>
            </w:tcBorders>
          </w:tcPr>
          <w:p>
            <w:pPr>
              <w:spacing w:before="40" w:after="40"/>
            </w:pPr>
            <w:r>
              <w:rPr>
                <w:color w:val="0F172A"/>
                <w:sz w:val="19"/>
              </w:rPr>
              <w:t>Bachelor of Science in Information Technology (BSIT)</w:t>
            </w:r>
          </w:p>
        </w:tc>
      </w:tr>
    </w:tbl>
    <w:p>
      <w:r>
        <w:br w:type="page"/>
      </w:r>
    </w:p>
    <w:p>
      <w:pPr>
        <w:keepNext/>
        <w:spacing w:before="280" w:after="100"/>
      </w:pPr>
      <w:r>
        <w:rPr>
          <w:rFonts w:ascii="Arial" w:hAnsi="Arial"/>
          <w:b/>
          <w:color w:val="1E3A8A"/>
          <w:sz w:val="28"/>
        </w:rPr>
        <w:t>Table of Contents</w:t>
      </w:r>
    </w:p>
    <w:p>
      <w:pPr>
        <w:spacing w:before="40" w:after="40" w:line="276" w:lineRule="auto"/>
        <w:ind w:left="360"/>
      </w:pPr>
      <w:r>
        <w:rPr>
          <w:b/>
        </w:rPr>
        <w:t xml:space="preserve">1. </w:t>
      </w:r>
      <w:r>
        <w:rPr>
          <w:sz w:val="20"/>
        </w:rPr>
        <w:t>[Executive Summary &amp; System Identity](#1-executive-summary--system-identity)</w:t>
      </w:r>
    </w:p>
    <w:p>
      <w:pPr>
        <w:spacing w:before="40" w:after="40" w:line="276" w:lineRule="auto"/>
        <w:ind w:left="360"/>
      </w:pPr>
      <w:r>
        <w:rPr>
          <w:b/>
        </w:rPr>
        <w:t xml:space="preserve">2. </w:t>
      </w:r>
      <w:r>
        <w:rPr>
          <w:sz w:val="20"/>
        </w:rPr>
        <w:t>[Complete Programming Languages &amp; Technologies](#2-complete-programming-languages--technologies)</w:t>
      </w:r>
    </w:p>
    <w:p>
      <w:pPr>
        <w:spacing w:before="40" w:after="40" w:line="276" w:lineRule="auto"/>
        <w:ind w:left="360"/>
      </w:pPr>
      <w:r>
        <w:rPr>
          <w:b/>
        </w:rPr>
        <w:t xml:space="preserve">3. </w:t>
      </w:r>
      <w:r>
        <w:rPr>
          <w:sz w:val="20"/>
        </w:rPr>
        <w:t>[Exhaustive File Types &amp; Extensions Dictionary](#3-exhaustive-file-types--extensions-dictionary)</w:t>
      </w:r>
    </w:p>
    <w:p>
      <w:pPr>
        <w:spacing w:before="40" w:after="40" w:line="276" w:lineRule="auto"/>
        <w:ind w:left="360"/>
      </w:pPr>
      <w:r>
        <w:rPr>
          <w:b/>
        </w:rPr>
        <w:t xml:space="preserve">4. </w:t>
      </w:r>
      <w:r>
        <w:rPr>
          <w:sz w:val="20"/>
        </w:rPr>
        <w:t>[Cloud Hostings, Backend Services &amp; Infrastructure](#4-cloud-hostings-backend-services--infrastructure)</w:t>
      </w:r>
    </w:p>
    <w:p>
      <w:pPr>
        <w:spacing w:before="40" w:after="40" w:line="276" w:lineRule="auto"/>
        <w:ind w:left="360"/>
      </w:pPr>
      <w:r>
        <w:rPr>
          <w:b/>
        </w:rPr>
        <w:t xml:space="preserve">5. </w:t>
      </w:r>
      <w:r>
        <w:rPr>
          <w:sz w:val="20"/>
        </w:rPr>
        <w:t>[System Architecture &amp; Software Design Patterns](#5-system-architecture--software-design-patterns)</w:t>
      </w:r>
    </w:p>
    <w:p>
      <w:pPr>
        <w:spacing w:before="40" w:after="40" w:line="276" w:lineRule="auto"/>
        <w:ind w:left="360"/>
      </w:pPr>
      <w:r>
        <w:rPr>
          <w:b/>
        </w:rPr>
        <w:t xml:space="preserve">6. </w:t>
      </w:r>
      <w:r>
        <w:rPr>
          <w:sz w:val="20"/>
        </w:rPr>
        <w:t>[Complete Database Schema &amp; Relational Model](#6-complete-database-schema--relational-model)</w:t>
      </w:r>
    </w:p>
    <w:p>
      <w:pPr>
        <w:spacing w:before="40" w:after="40" w:line="276" w:lineRule="auto"/>
        <w:ind w:left="360"/>
      </w:pPr>
      <w:r>
        <w:rPr>
          <w:b/>
        </w:rPr>
        <w:t xml:space="preserve">7. </w:t>
      </w:r>
      <w:r>
        <w:rPr>
          <w:sz w:val="20"/>
        </w:rPr>
        <w:t>[User Roles &amp; Functional Capabilities](#7-user-roles--functional-capabilities)</w:t>
      </w:r>
    </w:p>
    <w:p>
      <w:pPr>
        <w:spacing w:before="40" w:after="40" w:line="276" w:lineRule="auto"/>
        <w:ind w:left="360"/>
      </w:pPr>
      <w:r>
        <w:rPr>
          <w:b/>
        </w:rPr>
        <w:t xml:space="preserve">8. </w:t>
      </w:r>
      <w:r>
        <w:rPr>
          <w:sz w:val="20"/>
        </w:rPr>
        <w:t>[UI/UX Design System &amp; Theme Specifications](#8-uiux-design-system--theme-specifications)</w:t>
      </w:r>
    </w:p>
    <w:p>
      <w:pPr>
        <w:spacing w:before="40" w:after="40" w:line="276" w:lineRule="auto"/>
        <w:ind w:left="360"/>
      </w:pPr>
      <w:r>
        <w:rPr>
          <w:b/>
        </w:rPr>
        <w:t xml:space="preserve">9. </w:t>
      </w:r>
      <w:r>
        <w:rPr>
          <w:sz w:val="20"/>
        </w:rPr>
        <w:t>[Build, Packaging &amp; Multi-Platform Distribution](#9-build-packaging--multi-platform-distribution)</w:t>
      </w:r>
    </w:p>
    <w:p>
      <w:pPr>
        <w:spacing w:before="40" w:after="40" w:line="276" w:lineRule="auto"/>
        <w:ind w:left="360"/>
      </w:pPr>
      <w:r>
        <w:rPr>
          <w:b/>
        </w:rPr>
        <w:t xml:space="preserve">10. </w:t>
      </w:r>
      <w:r>
        <w:rPr>
          <w:sz w:val="20"/>
        </w:rPr>
        <w:t>[Security Controls &amp; Anti-Tampering Protections](#10-security-controls--anti-tampering-protections)</w:t>
      </w:r>
    </w:p>
    <w:p>
      <w:pPr>
        <w:keepNext/>
        <w:spacing w:before="280" w:after="100"/>
      </w:pPr>
      <w:r>
        <w:rPr>
          <w:rFonts w:ascii="Arial" w:hAnsi="Arial"/>
          <w:b/>
          <w:color w:val="1E3A8A"/>
          <w:sz w:val="28"/>
        </w:rPr>
        <w:t>1. Executive Summary &amp; System Identity</w:t>
      </w:r>
    </w:p>
    <w:p>
      <w:pPr>
        <w:spacing w:before="60" w:after="80" w:line="276" w:lineRule="auto"/>
      </w:pPr>
      <w:r>
        <w:rPr>
          <w:sz w:val="20"/>
        </w:rPr>
      </w:r>
      <w:r>
        <w:rPr>
          <w:b/>
          <w:sz w:val="20"/>
        </w:rPr>
        <w:t>AcadsCatchUp</w:t>
      </w:r>
      <w:r>
        <w:rPr>
          <w:sz w:val="20"/>
        </w:rPr>
        <w:t xml:space="preserve"> is a centralized, enterprise-grade academic task management and deficiency tracking desktop application. Designed specifically for higher education institutions, it provides an audited workflow for students, professors, and academic administrators to record, submit, review, and grade missed coursework (Activities, Quizzes, Examinations, and Assignments) resulting from absences, medical emergencies, or schedule conflicts.</w:t>
      </w:r>
    </w:p>
    <w:p>
      <w:pPr>
        <w:keepNext/>
        <w:spacing w:before="200" w:after="80"/>
      </w:pPr>
      <w:r>
        <w:rPr>
          <w:rFonts w:ascii="Arial" w:hAnsi="Arial"/>
          <w:b/>
          <w:color w:val="475569"/>
          <w:sz w:val="24"/>
        </w:rPr>
        <w:t>Key Metrics &amp; Properties</w:t>
      </w:r>
    </w:p>
    <w:p>
      <w:pPr>
        <w:pStyle w:val="ListBullet"/>
        <w:spacing w:before="20" w:after="40" w:line="276" w:lineRule="auto"/>
      </w:pPr>
      <w:r>
        <w:rPr>
          <w:sz w:val="20"/>
        </w:rPr>
      </w:r>
      <w:r>
        <w:rPr>
          <w:b/>
          <w:sz w:val="20"/>
        </w:rPr>
        <w:t>Application Name:</w:t>
      </w:r>
      <w:r>
        <w:rPr>
          <w:sz w:val="20"/>
        </w:rPr>
        <w:t xml:space="preserve"> AcadsCatchUp</w:t>
      </w:r>
    </w:p>
    <w:p>
      <w:pPr>
        <w:pStyle w:val="ListBullet"/>
        <w:spacing w:before="20" w:after="40" w:line="276" w:lineRule="auto"/>
      </w:pPr>
      <w:r>
        <w:rPr>
          <w:sz w:val="20"/>
        </w:rPr>
      </w:r>
      <w:r>
        <w:rPr>
          <w:b/>
          <w:sz w:val="20"/>
        </w:rPr>
        <w:t>Production Build Version:</w:t>
      </w:r>
      <w:r>
        <w:rPr>
          <w:sz w:val="20"/>
        </w:rPr>
        <w:t xml:space="preserve"> </w:t>
      </w:r>
      <w:r>
        <w:rPr>
          <w:rFonts w:ascii="Consolas" w:hAnsi="Consolas"/>
          <w:sz w:val="20"/>
        </w:rPr>
        <w:t>1.1.0-PROD-F4TAL</w:t>
      </w:r>
      <w:r>
        <w:rPr>
          <w:sz w:val="20"/>
        </w:rPr>
      </w:r>
    </w:p>
    <w:p>
      <w:pPr>
        <w:pStyle w:val="ListBullet"/>
        <w:spacing w:before="20" w:after="40" w:line="276" w:lineRule="auto"/>
      </w:pPr>
      <w:r>
        <w:rPr>
          <w:sz w:val="20"/>
        </w:rPr>
      </w:r>
      <w:r>
        <w:rPr>
          <w:b/>
          <w:sz w:val="20"/>
        </w:rPr>
        <w:t>Current Version Tag:</w:t>
      </w:r>
      <w:r>
        <w:rPr>
          <w:sz w:val="20"/>
        </w:rPr>
        <w:t xml:space="preserve"> </w:t>
      </w:r>
      <w:r>
        <w:rPr>
          <w:rFonts w:ascii="Consolas" w:hAnsi="Consolas"/>
          <w:sz w:val="20"/>
        </w:rPr>
        <w:t>v1.1.0</w:t>
      </w:r>
      <w:r>
        <w:rPr>
          <w:sz w:val="20"/>
        </w:rPr>
      </w:r>
    </w:p>
    <w:p>
      <w:pPr>
        <w:pStyle w:val="ListBullet"/>
        <w:spacing w:before="20" w:after="40" w:line="276" w:lineRule="auto"/>
      </w:pPr>
      <w:r>
        <w:rPr>
          <w:sz w:val="20"/>
        </w:rPr>
      </w:r>
      <w:r>
        <w:rPr>
          <w:b/>
          <w:sz w:val="20"/>
        </w:rPr>
        <w:t>Lead Developer:</w:t>
      </w:r>
      <w:r>
        <w:rPr>
          <w:sz w:val="20"/>
        </w:rPr>
        <w:t xml:space="preserve"> Stevenson James G. Gastanes (F4TAL)</w:t>
      </w:r>
    </w:p>
    <w:p>
      <w:pPr>
        <w:pStyle w:val="ListBullet"/>
        <w:spacing w:before="20" w:after="40" w:line="276" w:lineRule="auto"/>
      </w:pPr>
      <w:r>
        <w:rPr>
          <w:sz w:val="20"/>
        </w:rPr>
      </w:r>
      <w:r>
        <w:rPr>
          <w:b/>
          <w:sz w:val="20"/>
        </w:rPr>
        <w:t>Repository:</w:t>
      </w:r>
      <w:r>
        <w:rPr>
          <w:sz w:val="20"/>
        </w:rPr>
        <w:t xml:space="preserve"> [</w:t>
      </w:r>
      <w:r>
        <w:rPr>
          <w:rFonts w:ascii="Consolas" w:hAnsi="Consolas"/>
          <w:sz w:val="20"/>
        </w:rPr>
        <w:t>https://github.com/ZEKESAMP/AcadsCatchUp</w:t>
      </w:r>
      <w:r>
        <w:rPr>
          <w:sz w:val="20"/>
        </w:rPr>
        <w:t>](https://github.com/ZEKESAMP/AcadsCatchUp)</w:t>
      </w:r>
    </w:p>
    <w:p>
      <w:pPr>
        <w:pStyle w:val="ListBullet"/>
        <w:spacing w:before="20" w:after="40" w:line="276" w:lineRule="auto"/>
      </w:pPr>
      <w:r>
        <w:rPr>
          <w:sz w:val="20"/>
        </w:rPr>
      </w:r>
      <w:r>
        <w:rPr>
          <w:b/>
          <w:sz w:val="20"/>
        </w:rPr>
        <w:t>Supported Platforms:</w:t>
      </w:r>
      <w:r>
        <w:rPr>
          <w:sz w:val="20"/>
        </w:rPr>
        <w:t xml:space="preserve"> Windows 10/11 (64-bit), Linux (Debian/Ubuntu/Fedora/Arch), macOS (via Java 21+ JRE)</w:t>
      </w:r>
    </w:p>
    <w:p>
      <w:pPr>
        <w:pStyle w:val="ListBullet"/>
        <w:spacing w:before="20" w:after="40" w:line="276" w:lineRule="auto"/>
      </w:pPr>
      <w:r>
        <w:rPr>
          <w:sz w:val="20"/>
        </w:rPr>
      </w:r>
      <w:r>
        <w:rPr>
          <w:b/>
          <w:sz w:val="20"/>
        </w:rPr>
        <w:t>Deployment Models:</w:t>
      </w:r>
      <w:r>
        <w:rPr>
          <w:sz w:val="20"/>
        </w:rPr>
        <w:t xml:space="preserve"> Standalone Fat JAR, Portable Windows ZIP with embedded JRE, Dedicated Linux TAR.GZ/ZIP, Native Windows Executable (</w:t>
      </w:r>
      <w:r>
        <w:rPr>
          <w:rFonts w:ascii="Consolas" w:hAnsi="Consolas"/>
          <w:sz w:val="20"/>
        </w:rPr>
        <w:t>.exe</w:t>
      </w:r>
      <w:r>
        <w:rPr>
          <w:sz w:val="20"/>
        </w:rPr>
        <w:t>), and GUI Setup Installer.</w:t>
      </w:r>
    </w:p>
    <w:p>
      <w:pPr>
        <w:keepNext/>
        <w:spacing w:before="280" w:after="100"/>
      </w:pPr>
      <w:r>
        <w:rPr>
          <w:rFonts w:ascii="Arial" w:hAnsi="Arial"/>
          <w:b/>
          <w:color w:val="1E3A8A"/>
          <w:sz w:val="28"/>
        </w:rPr>
        <w:t>2. Complete Programming Languages &amp; Technologies</w:t>
      </w:r>
    </w:p>
    <w:p>
      <w:pPr>
        <w:spacing w:before="60" w:after="80" w:line="276" w:lineRule="auto"/>
      </w:pPr>
      <w:r>
        <w:rPr>
          <w:sz w:val="20"/>
        </w:rPr>
        <w:t>AcadsCatchUp combines compiled, declarative, scripted, and query languages across its presentation, persistence, build, and security layers:</w:t>
      </w:r>
    </w:p>
    <w:p>
      <w:pPr>
        <w:keepNext/>
        <w:spacing w:before="200" w:after="80"/>
      </w:pPr>
      <w:r>
        <w:rPr>
          <w:rFonts w:ascii="Arial" w:hAnsi="Arial"/>
          <w:b/>
          <w:color w:val="475569"/>
          <w:sz w:val="24"/>
        </w:rPr>
        <w:t>2.1 Primary &amp; Supporting Languages</w:t>
      </w:r>
    </w:p>
    <w:tbl>
      <w:tblPr>
        <w:tblW w:type="auto" w:w="0"/>
        <w:jc w:val="center"/>
        <w:tblLayout w:type="autofit"/>
        <w:tblLook w:firstColumn="1" w:firstRow="1" w:lastColumn="0" w:lastRow="0" w:noHBand="0" w:noVBand="1" w:val="04A0"/>
      </w:tblPr>
      <w:tblGrid>
        <w:gridCol w:w="3216"/>
        <w:gridCol w:w="3216"/>
        <w:gridCol w:w="3216"/>
      </w:tblGrid>
      <w:tr>
        <w:tc>
          <w:tcPr>
            <w:tcW w:type="dxa" w:w="3216"/>
            <w:tcMar>
              <w:top w:w="120" w:type="dxa"/>
              <w:bottom w:w="120" w:type="dxa"/>
              <w:left w:w="140" w:type="dxa"/>
              <w:right w:w="140" w:type="dxa"/>
            </w:tcMar>
            <w:shd w:fill="1E293B"/>
            <w:tcBorders>
              <w:top w:val="single" w:sz="6" w:space="0" w:color="0F172A"/>
              <w:left w:val="single" w:sz="4" w:space="0" w:color="334155"/>
              <w:bottom w:val="single" w:sz="6" w:space="0" w:color="0F172A"/>
              <w:right w:val="single" w:sz="4" w:space="0" w:color="334155"/>
            </w:tcBorders>
          </w:tcPr>
          <w:p>
            <w:pPr>
              <w:spacing w:before="40" w:after="40" w:line="276" w:lineRule="auto"/>
            </w:pPr>
            <w:r>
              <w:rPr>
                <w:b/>
                <w:color w:val="F8FAFC"/>
                <w:sz w:val="19"/>
              </w:rPr>
              <w:t>Language</w:t>
            </w:r>
          </w:p>
        </w:tc>
        <w:tc>
          <w:tcPr>
            <w:tcW w:type="dxa" w:w="3216"/>
            <w:tcMar>
              <w:top w:w="120" w:type="dxa"/>
              <w:bottom w:w="120" w:type="dxa"/>
              <w:left w:w="140" w:type="dxa"/>
              <w:right w:w="140" w:type="dxa"/>
            </w:tcMar>
            <w:shd w:fill="1E293B"/>
            <w:tcBorders>
              <w:top w:val="single" w:sz="6" w:space="0" w:color="0F172A"/>
              <w:left w:val="single" w:sz="4" w:space="0" w:color="334155"/>
              <w:bottom w:val="single" w:sz="6" w:space="0" w:color="0F172A"/>
              <w:right w:val="single" w:sz="4" w:space="0" w:color="334155"/>
            </w:tcBorders>
          </w:tcPr>
          <w:p>
            <w:pPr>
              <w:spacing w:before="40" w:after="40" w:line="276" w:lineRule="auto"/>
            </w:pPr>
            <w:r>
              <w:rPr>
                <w:b/>
                <w:color w:val="F8FAFC"/>
                <w:sz w:val="19"/>
              </w:rPr>
              <w:t>Primary Role / Usage in Project</w:t>
            </w:r>
          </w:p>
        </w:tc>
        <w:tc>
          <w:tcPr>
            <w:tcW w:type="dxa" w:w="3216"/>
            <w:tcMar>
              <w:top w:w="120" w:type="dxa"/>
              <w:bottom w:w="120" w:type="dxa"/>
              <w:left w:w="140" w:type="dxa"/>
              <w:right w:w="140" w:type="dxa"/>
            </w:tcMar>
            <w:shd w:fill="1E293B"/>
            <w:tcBorders>
              <w:top w:val="single" w:sz="6" w:space="0" w:color="0F172A"/>
              <w:left w:val="single" w:sz="4" w:space="0" w:color="334155"/>
              <w:bottom w:val="single" w:sz="6" w:space="0" w:color="0F172A"/>
              <w:right w:val="single" w:sz="4" w:space="0" w:color="334155"/>
            </w:tcBorders>
          </w:tcPr>
          <w:p>
            <w:pPr>
              <w:spacing w:before="40" w:after="40" w:line="276" w:lineRule="auto"/>
            </w:pPr>
            <w:r>
              <w:rPr>
                <w:b/>
                <w:color w:val="F8FAFC"/>
                <w:sz w:val="19"/>
              </w:rPr>
              <w:t>Standard File Extensions</w:t>
            </w:r>
          </w:p>
        </w:tc>
      </w:tr>
      <w:tr>
        <w:tc>
          <w:tcPr>
            <w:tcW w:type="dxa" w:w="3216"/>
            <w:tcMar>
              <w:top w:w="120" w:type="dxa"/>
              <w:bottom w:w="120" w:type="dxa"/>
              <w:left w:w="140" w:type="dxa"/>
              <w:right w:w="14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color w:val="1E293B"/>
                <w:sz w:val="18"/>
              </w:rPr>
            </w:r>
            <w:r>
              <w:rPr>
                <w:b/>
                <w:color w:val="1E293B"/>
                <w:sz w:val="18"/>
              </w:rPr>
              <w:t>Java (Java 21 LTS)</w:t>
            </w:r>
            <w:r>
              <w:rPr>
                <w:color w:val="1E293B"/>
                <w:sz w:val="18"/>
              </w:rPr>
            </w:r>
          </w:p>
        </w:tc>
        <w:tc>
          <w:tcPr>
            <w:tcW w:type="dxa" w:w="3216"/>
            <w:tcMar>
              <w:top w:w="120" w:type="dxa"/>
              <w:bottom w:w="120" w:type="dxa"/>
              <w:left w:w="140" w:type="dxa"/>
              <w:right w:w="14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color w:val="1E293B"/>
                <w:sz w:val="18"/>
              </w:rPr>
              <w:t>Core business logic, UI event routing, network protocols, reflection guards, connection pooling, and multi-threaded background daemons.</w:t>
            </w:r>
          </w:p>
        </w:tc>
        <w:tc>
          <w:tcPr>
            <w:tcW w:type="dxa" w:w="3216"/>
            <w:tcMar>
              <w:top w:w="120" w:type="dxa"/>
              <w:bottom w:w="120" w:type="dxa"/>
              <w:left w:w="140" w:type="dxa"/>
              <w:right w:w="14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color w:val="1E293B"/>
                <w:sz w:val="18"/>
              </w:rPr>
              <w:t>.java`, `.class`, `.jar</w:t>
            </w:r>
          </w:p>
        </w:tc>
      </w:tr>
      <w:tr>
        <w:tc>
          <w:tcPr>
            <w:tcW w:type="dxa" w:w="3216"/>
            <w:tcMar>
              <w:top w:w="120" w:type="dxa"/>
              <w:bottom w:w="12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color w:val="1E293B"/>
                <w:sz w:val="18"/>
              </w:rPr>
            </w:r>
            <w:r>
              <w:rPr>
                <w:b/>
                <w:color w:val="1E293B"/>
                <w:sz w:val="18"/>
              </w:rPr>
              <w:t>FXML (XML Markup)</w:t>
            </w:r>
            <w:r>
              <w:rPr>
                <w:color w:val="1E293B"/>
                <w:sz w:val="18"/>
              </w:rPr>
            </w:r>
          </w:p>
        </w:tc>
        <w:tc>
          <w:tcPr>
            <w:tcW w:type="dxa" w:w="3216"/>
            <w:tcMar>
              <w:top w:w="120" w:type="dxa"/>
              <w:bottom w:w="12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color w:val="1E293B"/>
                <w:sz w:val="18"/>
              </w:rPr>
              <w:t>Declarative scene-graph definitions for all windows, views, tables, and dialog modals.</w:t>
            </w:r>
          </w:p>
        </w:tc>
        <w:tc>
          <w:tcPr>
            <w:tcW w:type="dxa" w:w="3216"/>
            <w:tcMar>
              <w:top w:w="120" w:type="dxa"/>
              <w:bottom w:w="12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color w:val="1E293B"/>
                <w:sz w:val="18"/>
              </w:rPr>
              <w:t>.fxml</w:t>
            </w:r>
          </w:p>
        </w:tc>
      </w:tr>
      <w:tr>
        <w:tc>
          <w:tcPr>
            <w:tcW w:type="dxa" w:w="3216"/>
            <w:tcMar>
              <w:top w:w="120" w:type="dxa"/>
              <w:bottom w:w="120" w:type="dxa"/>
              <w:left w:w="140" w:type="dxa"/>
              <w:right w:w="14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color w:val="1E293B"/>
                <w:sz w:val="18"/>
              </w:rPr>
            </w:r>
            <w:r>
              <w:rPr>
                <w:b/>
                <w:color w:val="1E293B"/>
                <w:sz w:val="18"/>
              </w:rPr>
              <w:t>CSS3 (JavaFX CSS)</w:t>
            </w:r>
            <w:r>
              <w:rPr>
                <w:color w:val="1E293B"/>
                <w:sz w:val="18"/>
              </w:rPr>
            </w:r>
          </w:p>
        </w:tc>
        <w:tc>
          <w:tcPr>
            <w:tcW w:type="dxa" w:w="3216"/>
            <w:tcMar>
              <w:top w:w="120" w:type="dxa"/>
              <w:bottom w:w="120" w:type="dxa"/>
              <w:left w:w="140" w:type="dxa"/>
              <w:right w:w="14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color w:val="1E293B"/>
                <w:sz w:val="18"/>
              </w:rPr>
              <w:t>Styling, color tokens, dark-mode gradients, state pseudo-classes (`:hover`, `:focused`), and animations.</w:t>
            </w:r>
          </w:p>
        </w:tc>
        <w:tc>
          <w:tcPr>
            <w:tcW w:type="dxa" w:w="3216"/>
            <w:tcMar>
              <w:top w:w="120" w:type="dxa"/>
              <w:bottom w:w="120" w:type="dxa"/>
              <w:left w:w="140" w:type="dxa"/>
              <w:right w:w="14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color w:val="1E293B"/>
                <w:sz w:val="18"/>
              </w:rPr>
              <w:t>.css</w:t>
            </w:r>
          </w:p>
        </w:tc>
      </w:tr>
      <w:tr>
        <w:tc>
          <w:tcPr>
            <w:tcW w:type="dxa" w:w="3216"/>
            <w:tcMar>
              <w:top w:w="120" w:type="dxa"/>
              <w:bottom w:w="12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color w:val="1E293B"/>
                <w:sz w:val="18"/>
              </w:rPr>
            </w:r>
            <w:r>
              <w:rPr>
                <w:b/>
                <w:color w:val="1E293B"/>
                <w:sz w:val="18"/>
              </w:rPr>
              <w:t>SQL (MySQL / SQLite)</w:t>
            </w:r>
            <w:r>
              <w:rPr>
                <w:color w:val="1E293B"/>
                <w:sz w:val="18"/>
              </w:rPr>
            </w:r>
          </w:p>
        </w:tc>
        <w:tc>
          <w:tcPr>
            <w:tcW w:type="dxa" w:w="3216"/>
            <w:tcMar>
              <w:top w:w="120" w:type="dxa"/>
              <w:bottom w:w="12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color w:val="1E293B"/>
                <w:sz w:val="18"/>
              </w:rPr>
              <w:t>Relational database schema definitions (DDL), indexes, foreign keys, and transactional data access (DML).</w:t>
            </w:r>
          </w:p>
        </w:tc>
        <w:tc>
          <w:tcPr>
            <w:tcW w:type="dxa" w:w="3216"/>
            <w:tcMar>
              <w:top w:w="120" w:type="dxa"/>
              <w:bottom w:w="12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color w:val="1E293B"/>
                <w:sz w:val="18"/>
              </w:rPr>
              <w:t>.sql`, `.db</w:t>
            </w:r>
          </w:p>
        </w:tc>
      </w:tr>
      <w:tr>
        <w:tc>
          <w:tcPr>
            <w:tcW w:type="dxa" w:w="3216"/>
            <w:tcMar>
              <w:top w:w="120" w:type="dxa"/>
              <w:bottom w:w="120" w:type="dxa"/>
              <w:left w:w="140" w:type="dxa"/>
              <w:right w:w="14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color w:val="1E293B"/>
                <w:sz w:val="18"/>
              </w:rPr>
            </w:r>
            <w:r>
              <w:rPr>
                <w:b/>
                <w:color w:val="1E293B"/>
                <w:sz w:val="18"/>
              </w:rPr>
              <w:t>PowerShell (v5.1 &amp; v7+)</w:t>
            </w:r>
            <w:r>
              <w:rPr>
                <w:color w:val="1E293B"/>
                <w:sz w:val="18"/>
              </w:rPr>
            </w:r>
          </w:p>
        </w:tc>
        <w:tc>
          <w:tcPr>
            <w:tcW w:type="dxa" w:w="3216"/>
            <w:tcMar>
              <w:top w:w="120" w:type="dxa"/>
              <w:bottom w:w="120" w:type="dxa"/>
              <w:left w:w="140" w:type="dxa"/>
              <w:right w:w="14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color w:val="1E293B"/>
                <w:sz w:val="18"/>
              </w:rPr>
              <w:t>Windows packaging scripts, Fat JAR unpack/repack assembly, Unix LF normalization, and DeveloperGuard verification.</w:t>
            </w:r>
          </w:p>
        </w:tc>
        <w:tc>
          <w:tcPr>
            <w:tcW w:type="dxa" w:w="3216"/>
            <w:tcMar>
              <w:top w:w="120" w:type="dxa"/>
              <w:bottom w:w="120" w:type="dxa"/>
              <w:left w:w="140" w:type="dxa"/>
              <w:right w:w="14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color w:val="1E293B"/>
                <w:sz w:val="18"/>
              </w:rPr>
              <w:t>.ps1</w:t>
            </w:r>
          </w:p>
        </w:tc>
      </w:tr>
      <w:tr>
        <w:tc>
          <w:tcPr>
            <w:tcW w:type="dxa" w:w="3216"/>
            <w:tcMar>
              <w:top w:w="120" w:type="dxa"/>
              <w:bottom w:w="12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color w:val="1E293B"/>
                <w:sz w:val="18"/>
              </w:rPr>
            </w:r>
            <w:r>
              <w:rPr>
                <w:b/>
                <w:color w:val="1E293B"/>
                <w:sz w:val="18"/>
              </w:rPr>
              <w:t>Windows Command Script</w:t>
            </w:r>
            <w:r>
              <w:rPr>
                <w:color w:val="1E293B"/>
                <w:sz w:val="18"/>
              </w:rPr>
            </w:r>
          </w:p>
        </w:tc>
        <w:tc>
          <w:tcPr>
            <w:tcW w:type="dxa" w:w="3216"/>
            <w:tcMar>
              <w:top w:w="120" w:type="dxa"/>
              <w:bottom w:w="12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color w:val="1E293B"/>
                <w:sz w:val="18"/>
              </w:rPr>
              <w:t>Native Windows launchers, fallback builders, and detached process replacement scripts.</w:t>
            </w:r>
          </w:p>
        </w:tc>
        <w:tc>
          <w:tcPr>
            <w:tcW w:type="dxa" w:w="3216"/>
            <w:tcMar>
              <w:top w:w="120" w:type="dxa"/>
              <w:bottom w:w="12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color w:val="1E293B"/>
                <w:sz w:val="18"/>
              </w:rPr>
              <w:t>.bat`, `.cmd</w:t>
            </w:r>
          </w:p>
        </w:tc>
      </w:tr>
      <w:tr>
        <w:tc>
          <w:tcPr>
            <w:tcW w:type="dxa" w:w="3216"/>
            <w:tcMar>
              <w:top w:w="120" w:type="dxa"/>
              <w:bottom w:w="120" w:type="dxa"/>
              <w:left w:w="140" w:type="dxa"/>
              <w:right w:w="14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color w:val="1E293B"/>
                <w:sz w:val="18"/>
              </w:rPr>
            </w:r>
            <w:r>
              <w:rPr>
                <w:b/>
                <w:color w:val="1E293B"/>
                <w:sz w:val="18"/>
              </w:rPr>
              <w:t>Unix Shell Script (Bash)</w:t>
            </w:r>
            <w:r>
              <w:rPr>
                <w:color w:val="1E293B"/>
                <w:sz w:val="18"/>
              </w:rPr>
            </w:r>
          </w:p>
        </w:tc>
        <w:tc>
          <w:tcPr>
            <w:tcW w:type="dxa" w:w="3216"/>
            <w:tcMar>
              <w:top w:w="120" w:type="dxa"/>
              <w:bottom w:w="120" w:type="dxa"/>
              <w:left w:w="140" w:type="dxa"/>
              <w:right w:w="14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color w:val="1E293B"/>
                <w:sz w:val="18"/>
              </w:rPr>
              <w:t>Native Linux application launch script (`Launch_AcadsCatchUp.sh`) and permission flags.</w:t>
            </w:r>
          </w:p>
        </w:tc>
        <w:tc>
          <w:tcPr>
            <w:tcW w:type="dxa" w:w="3216"/>
            <w:tcMar>
              <w:top w:w="120" w:type="dxa"/>
              <w:bottom w:w="120" w:type="dxa"/>
              <w:left w:w="140" w:type="dxa"/>
              <w:right w:w="14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color w:val="1E293B"/>
                <w:sz w:val="18"/>
              </w:rPr>
              <w:t>.sh</w:t>
            </w:r>
          </w:p>
        </w:tc>
      </w:tr>
      <w:tr>
        <w:tc>
          <w:tcPr>
            <w:tcW w:type="dxa" w:w="3216"/>
            <w:tcMar>
              <w:top w:w="120" w:type="dxa"/>
              <w:bottom w:w="12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color w:val="1E293B"/>
                <w:sz w:val="18"/>
              </w:rPr>
            </w:r>
            <w:r>
              <w:rPr>
                <w:b/>
                <w:color w:val="1E293B"/>
                <w:sz w:val="18"/>
              </w:rPr>
              <w:t>VBScript</w:t>
            </w:r>
            <w:r>
              <w:rPr>
                <w:color w:val="1E293B"/>
                <w:sz w:val="18"/>
              </w:rPr>
            </w:r>
          </w:p>
        </w:tc>
        <w:tc>
          <w:tcPr>
            <w:tcW w:type="dxa" w:w="3216"/>
            <w:tcMar>
              <w:top w:w="120" w:type="dxa"/>
              <w:bottom w:w="12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color w:val="1E293B"/>
                <w:sz w:val="18"/>
              </w:rPr>
              <w:t>Windows silent background runner (`Launch_AcadsCatchUp.vbs`) suppressing console windows.</w:t>
            </w:r>
          </w:p>
        </w:tc>
        <w:tc>
          <w:tcPr>
            <w:tcW w:type="dxa" w:w="3216"/>
            <w:tcMar>
              <w:top w:w="120" w:type="dxa"/>
              <w:bottom w:w="12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color w:val="1E293B"/>
                <w:sz w:val="18"/>
              </w:rPr>
              <w:t>.vbs</w:t>
            </w:r>
          </w:p>
        </w:tc>
      </w:tr>
      <w:tr>
        <w:tc>
          <w:tcPr>
            <w:tcW w:type="dxa" w:w="3216"/>
            <w:tcMar>
              <w:top w:w="120" w:type="dxa"/>
              <w:bottom w:w="120" w:type="dxa"/>
              <w:left w:w="140" w:type="dxa"/>
              <w:right w:w="14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color w:val="1E293B"/>
                <w:sz w:val="18"/>
              </w:rPr>
            </w:r>
            <w:r>
              <w:rPr>
                <w:b/>
                <w:color w:val="1E293B"/>
                <w:sz w:val="18"/>
              </w:rPr>
              <w:t>JSON</w:t>
            </w:r>
            <w:r>
              <w:rPr>
                <w:color w:val="1E293B"/>
                <w:sz w:val="18"/>
              </w:rPr>
            </w:r>
          </w:p>
        </w:tc>
        <w:tc>
          <w:tcPr>
            <w:tcW w:type="dxa" w:w="3216"/>
            <w:tcMar>
              <w:top w:w="120" w:type="dxa"/>
              <w:bottom w:w="120" w:type="dxa"/>
              <w:left w:w="140" w:type="dxa"/>
              <w:right w:w="14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color w:val="1E293B"/>
                <w:sz w:val="18"/>
              </w:rPr>
              <w:t>Remote semantic version manifests and auto-update release notes metadata.</w:t>
            </w:r>
          </w:p>
        </w:tc>
        <w:tc>
          <w:tcPr>
            <w:tcW w:type="dxa" w:w="3216"/>
            <w:tcMar>
              <w:top w:w="120" w:type="dxa"/>
              <w:bottom w:w="120" w:type="dxa"/>
              <w:left w:w="140" w:type="dxa"/>
              <w:right w:w="14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color w:val="1E293B"/>
                <w:sz w:val="18"/>
              </w:rPr>
              <w:t>.json</w:t>
            </w:r>
          </w:p>
        </w:tc>
      </w:tr>
      <w:tr>
        <w:tc>
          <w:tcPr>
            <w:tcW w:type="dxa" w:w="3216"/>
            <w:tcMar>
              <w:top w:w="120" w:type="dxa"/>
              <w:bottom w:w="12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color w:val="1E293B"/>
                <w:sz w:val="18"/>
              </w:rPr>
            </w:r>
            <w:r>
              <w:rPr>
                <w:b/>
                <w:color w:val="1E293B"/>
                <w:sz w:val="18"/>
              </w:rPr>
              <w:t>Java Properties</w:t>
            </w:r>
            <w:r>
              <w:rPr>
                <w:color w:val="1E293B"/>
                <w:sz w:val="18"/>
              </w:rPr>
            </w:r>
          </w:p>
        </w:tc>
        <w:tc>
          <w:tcPr>
            <w:tcW w:type="dxa" w:w="3216"/>
            <w:tcMar>
              <w:top w:w="120" w:type="dxa"/>
              <w:bottom w:w="12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color w:val="1E293B"/>
                <w:sz w:val="18"/>
              </w:rPr>
              <w:t>Runtime database configuration fallback key-value file.</w:t>
            </w:r>
          </w:p>
        </w:tc>
        <w:tc>
          <w:tcPr>
            <w:tcW w:type="dxa" w:w="3216"/>
            <w:tcMar>
              <w:top w:w="120" w:type="dxa"/>
              <w:bottom w:w="12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color w:val="1E293B"/>
                <w:sz w:val="18"/>
              </w:rPr>
              <w:t>.properties</w:t>
            </w:r>
          </w:p>
        </w:tc>
      </w:tr>
      <w:tr>
        <w:tc>
          <w:tcPr>
            <w:tcW w:type="dxa" w:w="3216"/>
            <w:tcMar>
              <w:top w:w="120" w:type="dxa"/>
              <w:bottom w:w="120" w:type="dxa"/>
              <w:left w:w="140" w:type="dxa"/>
              <w:right w:w="14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color w:val="1E293B"/>
                <w:sz w:val="18"/>
              </w:rPr>
            </w:r>
            <w:r>
              <w:rPr>
                <w:b/>
                <w:color w:val="1E293B"/>
                <w:sz w:val="18"/>
              </w:rPr>
              <w:t>YAML</w:t>
            </w:r>
            <w:r>
              <w:rPr>
                <w:color w:val="1E293B"/>
                <w:sz w:val="18"/>
              </w:rPr>
            </w:r>
          </w:p>
        </w:tc>
        <w:tc>
          <w:tcPr>
            <w:tcW w:type="dxa" w:w="3216"/>
            <w:tcMar>
              <w:top w:w="120" w:type="dxa"/>
              <w:bottom w:w="120" w:type="dxa"/>
              <w:left w:w="140" w:type="dxa"/>
              <w:right w:w="14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color w:val="1E293B"/>
                <w:sz w:val="18"/>
              </w:rPr>
              <w:t>GitHub Actions CI/CD workflows for automated compilation, packaging, and release publishing.</w:t>
            </w:r>
          </w:p>
        </w:tc>
        <w:tc>
          <w:tcPr>
            <w:tcW w:type="dxa" w:w="3216"/>
            <w:tcMar>
              <w:top w:w="120" w:type="dxa"/>
              <w:bottom w:w="120" w:type="dxa"/>
              <w:left w:w="140" w:type="dxa"/>
              <w:right w:w="14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color w:val="1E293B"/>
                <w:sz w:val="18"/>
              </w:rPr>
              <w:t>.yml</w:t>
            </w:r>
          </w:p>
        </w:tc>
      </w:tr>
    </w:tbl>
    <w:p>
      <w:pPr>
        <w:spacing w:after="120"/>
      </w:pPr>
    </w:p>
    <w:p>
      <w:pPr>
        <w:keepNext/>
        <w:spacing w:before="200" w:after="80"/>
      </w:pPr>
      <w:r>
        <w:rPr>
          <w:rFonts w:ascii="Arial" w:hAnsi="Arial"/>
          <w:b/>
          <w:color w:val="475569"/>
          <w:sz w:val="24"/>
        </w:rPr>
        <w:t>2.2 Frameworks, Drivers &amp; Libraries</w:t>
      </w:r>
    </w:p>
    <w:tbl>
      <w:tblPr>
        <w:tblW w:type="auto" w:w="0"/>
        <w:jc w:val="center"/>
        <w:tblLayout w:type="autofit"/>
        <w:tblLook w:firstColumn="1" w:firstRow="1" w:lastColumn="0" w:lastRow="0" w:noHBand="0" w:noVBand="1" w:val="04A0"/>
      </w:tblPr>
      <w:tblGrid>
        <w:gridCol w:w="2412"/>
        <w:gridCol w:w="2412"/>
        <w:gridCol w:w="2412"/>
        <w:gridCol w:w="2412"/>
      </w:tblGrid>
      <w:tr>
        <w:tc>
          <w:tcPr>
            <w:tcW w:type="dxa" w:w="2412"/>
            <w:tcMar>
              <w:top w:w="120" w:type="dxa"/>
              <w:bottom w:w="120" w:type="dxa"/>
              <w:left w:w="140" w:type="dxa"/>
              <w:right w:w="140" w:type="dxa"/>
            </w:tcMar>
            <w:shd w:fill="1E293B"/>
            <w:tcBorders>
              <w:top w:val="single" w:sz="6" w:space="0" w:color="0F172A"/>
              <w:left w:val="single" w:sz="4" w:space="0" w:color="334155"/>
              <w:bottom w:val="single" w:sz="6" w:space="0" w:color="0F172A"/>
              <w:right w:val="single" w:sz="4" w:space="0" w:color="334155"/>
            </w:tcBorders>
          </w:tcPr>
          <w:p>
            <w:pPr>
              <w:spacing w:before="40" w:after="40" w:line="276" w:lineRule="auto"/>
            </w:pPr>
            <w:r>
              <w:rPr>
                <w:b/>
                <w:color w:val="F8FAFC"/>
                <w:sz w:val="19"/>
              </w:rPr>
              <w:t>Library / Dependency</w:t>
            </w:r>
          </w:p>
        </w:tc>
        <w:tc>
          <w:tcPr>
            <w:tcW w:type="dxa" w:w="2412"/>
            <w:tcMar>
              <w:top w:w="120" w:type="dxa"/>
              <w:bottom w:w="120" w:type="dxa"/>
              <w:left w:w="140" w:type="dxa"/>
              <w:right w:w="140" w:type="dxa"/>
            </w:tcMar>
            <w:shd w:fill="1E293B"/>
            <w:tcBorders>
              <w:top w:val="single" w:sz="6" w:space="0" w:color="0F172A"/>
              <w:left w:val="single" w:sz="4" w:space="0" w:color="334155"/>
              <w:bottom w:val="single" w:sz="6" w:space="0" w:color="0F172A"/>
              <w:right w:val="single" w:sz="4" w:space="0" w:color="334155"/>
            </w:tcBorders>
          </w:tcPr>
          <w:p>
            <w:pPr>
              <w:spacing w:before="40" w:after="40" w:line="276" w:lineRule="auto"/>
            </w:pPr>
            <w:r>
              <w:rPr>
                <w:b/>
                <w:color w:val="F8FAFC"/>
                <w:sz w:val="19"/>
              </w:rPr>
              <w:t>Version</w:t>
            </w:r>
          </w:p>
        </w:tc>
        <w:tc>
          <w:tcPr>
            <w:tcW w:type="dxa" w:w="2412"/>
            <w:tcMar>
              <w:top w:w="120" w:type="dxa"/>
              <w:bottom w:w="120" w:type="dxa"/>
              <w:left w:w="140" w:type="dxa"/>
              <w:right w:w="140" w:type="dxa"/>
            </w:tcMar>
            <w:shd w:fill="1E293B"/>
            <w:tcBorders>
              <w:top w:val="single" w:sz="6" w:space="0" w:color="0F172A"/>
              <w:left w:val="single" w:sz="4" w:space="0" w:color="334155"/>
              <w:bottom w:val="single" w:sz="6" w:space="0" w:color="0F172A"/>
              <w:right w:val="single" w:sz="4" w:space="0" w:color="334155"/>
            </w:tcBorders>
          </w:tcPr>
          <w:p>
            <w:pPr>
              <w:spacing w:before="40" w:after="40" w:line="276" w:lineRule="auto"/>
            </w:pPr>
            <w:r>
              <w:rPr>
                <w:b/>
                <w:color w:val="F8FAFC"/>
                <w:sz w:val="19"/>
              </w:rPr>
              <w:t>Maven Artifact / Provider</w:t>
            </w:r>
          </w:p>
        </w:tc>
        <w:tc>
          <w:tcPr>
            <w:tcW w:type="dxa" w:w="2412"/>
            <w:tcMar>
              <w:top w:w="120" w:type="dxa"/>
              <w:bottom w:w="120" w:type="dxa"/>
              <w:left w:w="140" w:type="dxa"/>
              <w:right w:w="140" w:type="dxa"/>
            </w:tcMar>
            <w:shd w:fill="1E293B"/>
            <w:tcBorders>
              <w:top w:val="single" w:sz="6" w:space="0" w:color="0F172A"/>
              <w:left w:val="single" w:sz="4" w:space="0" w:color="334155"/>
              <w:bottom w:val="single" w:sz="6" w:space="0" w:color="0F172A"/>
              <w:right w:val="single" w:sz="4" w:space="0" w:color="334155"/>
            </w:tcBorders>
          </w:tcPr>
          <w:p>
            <w:pPr>
              <w:spacing w:before="40" w:after="40" w:line="276" w:lineRule="auto"/>
            </w:pPr>
            <w:r>
              <w:rPr>
                <w:b/>
                <w:color w:val="F8FAFC"/>
                <w:sz w:val="19"/>
              </w:rPr>
              <w:t>Role</w:t>
            </w:r>
          </w:p>
        </w:tc>
      </w:tr>
      <w:tr>
        <w:tc>
          <w:tcPr>
            <w:tcW w:type="dxa" w:w="2412"/>
            <w:tcMar>
              <w:top w:w="120" w:type="dxa"/>
              <w:bottom w:w="120" w:type="dxa"/>
              <w:left w:w="140" w:type="dxa"/>
              <w:right w:w="14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color w:val="1E293B"/>
                <w:sz w:val="18"/>
              </w:rPr>
            </w:r>
            <w:r>
              <w:rPr>
                <w:b/>
                <w:color w:val="1E293B"/>
                <w:sz w:val="18"/>
              </w:rPr>
              <w:t>JavaFX Controls</w:t>
            </w:r>
            <w:r>
              <w:rPr>
                <w:color w:val="1E293B"/>
                <w:sz w:val="18"/>
              </w:rPr>
            </w:r>
          </w:p>
        </w:tc>
        <w:tc>
          <w:tcPr>
            <w:tcW w:type="dxa" w:w="2412"/>
            <w:tcMar>
              <w:top w:w="120" w:type="dxa"/>
              <w:bottom w:w="120" w:type="dxa"/>
              <w:left w:w="140" w:type="dxa"/>
              <w:right w:w="14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color w:val="1E293B"/>
                <w:sz w:val="18"/>
              </w:rPr>
              <w:t>21.0.4</w:t>
            </w:r>
          </w:p>
        </w:tc>
        <w:tc>
          <w:tcPr>
            <w:tcW w:type="dxa" w:w="2412"/>
            <w:tcMar>
              <w:top w:w="120" w:type="dxa"/>
              <w:bottom w:w="120" w:type="dxa"/>
              <w:left w:w="140" w:type="dxa"/>
              <w:right w:w="14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color w:val="1E293B"/>
                <w:sz w:val="18"/>
              </w:rPr>
              <w:t>org.openjfx:javafx-controls</w:t>
            </w:r>
          </w:p>
        </w:tc>
        <w:tc>
          <w:tcPr>
            <w:tcW w:type="dxa" w:w="2412"/>
            <w:tcMar>
              <w:top w:w="120" w:type="dxa"/>
              <w:bottom w:w="120" w:type="dxa"/>
              <w:left w:w="140" w:type="dxa"/>
              <w:right w:w="14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color w:val="1E293B"/>
                <w:sz w:val="18"/>
              </w:rPr>
              <w:t>Native UI controls (`TableView`, `ComboBox`, `Button`, `ListView`).</w:t>
            </w:r>
          </w:p>
        </w:tc>
      </w:tr>
      <w:tr>
        <w:tc>
          <w:tcPr>
            <w:tcW w:type="dxa" w:w="2412"/>
            <w:tcMar>
              <w:top w:w="120" w:type="dxa"/>
              <w:bottom w:w="12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color w:val="1E293B"/>
                <w:sz w:val="18"/>
              </w:rPr>
            </w:r>
            <w:r>
              <w:rPr>
                <w:b/>
                <w:color w:val="1E293B"/>
                <w:sz w:val="18"/>
              </w:rPr>
              <w:t>JavaFX FXML</w:t>
            </w:r>
            <w:r>
              <w:rPr>
                <w:color w:val="1E293B"/>
                <w:sz w:val="18"/>
              </w:rPr>
            </w:r>
          </w:p>
        </w:tc>
        <w:tc>
          <w:tcPr>
            <w:tcW w:type="dxa" w:w="2412"/>
            <w:tcMar>
              <w:top w:w="120" w:type="dxa"/>
              <w:bottom w:w="12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color w:val="1E293B"/>
                <w:sz w:val="18"/>
              </w:rPr>
              <w:t>21.0.4</w:t>
            </w:r>
          </w:p>
        </w:tc>
        <w:tc>
          <w:tcPr>
            <w:tcW w:type="dxa" w:w="2412"/>
            <w:tcMar>
              <w:top w:w="120" w:type="dxa"/>
              <w:bottom w:w="12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color w:val="1E293B"/>
                <w:sz w:val="18"/>
              </w:rPr>
              <w:t>org.openjfx:javafx-fxml</w:t>
            </w:r>
          </w:p>
        </w:tc>
        <w:tc>
          <w:tcPr>
            <w:tcW w:type="dxa" w:w="2412"/>
            <w:tcMar>
              <w:top w:w="120" w:type="dxa"/>
              <w:bottom w:w="12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color w:val="1E293B"/>
                <w:sz w:val="18"/>
              </w:rPr>
              <w:t>Model-View-Controller controller binding and XML view loading.</w:t>
            </w:r>
          </w:p>
        </w:tc>
      </w:tr>
      <w:tr>
        <w:tc>
          <w:tcPr>
            <w:tcW w:type="dxa" w:w="2412"/>
            <w:tcMar>
              <w:top w:w="120" w:type="dxa"/>
              <w:bottom w:w="120" w:type="dxa"/>
              <w:left w:w="140" w:type="dxa"/>
              <w:right w:w="14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color w:val="1E293B"/>
                <w:sz w:val="18"/>
              </w:rPr>
            </w:r>
            <w:r>
              <w:rPr>
                <w:b/>
                <w:color w:val="1E293B"/>
                <w:sz w:val="18"/>
              </w:rPr>
              <w:t>MySQL Connector/J</w:t>
            </w:r>
            <w:r>
              <w:rPr>
                <w:color w:val="1E293B"/>
                <w:sz w:val="18"/>
              </w:rPr>
            </w:r>
          </w:p>
        </w:tc>
        <w:tc>
          <w:tcPr>
            <w:tcW w:type="dxa" w:w="2412"/>
            <w:tcMar>
              <w:top w:w="120" w:type="dxa"/>
              <w:bottom w:w="120" w:type="dxa"/>
              <w:left w:w="140" w:type="dxa"/>
              <w:right w:w="14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color w:val="1E293B"/>
                <w:sz w:val="18"/>
              </w:rPr>
              <w:t>8.3.0</w:t>
            </w:r>
          </w:p>
        </w:tc>
        <w:tc>
          <w:tcPr>
            <w:tcW w:type="dxa" w:w="2412"/>
            <w:tcMar>
              <w:top w:w="120" w:type="dxa"/>
              <w:bottom w:w="120" w:type="dxa"/>
              <w:left w:w="140" w:type="dxa"/>
              <w:right w:w="14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color w:val="1E293B"/>
                <w:sz w:val="18"/>
              </w:rPr>
              <w:t>com.mysql:mysql-connector-j</w:t>
            </w:r>
          </w:p>
        </w:tc>
        <w:tc>
          <w:tcPr>
            <w:tcW w:type="dxa" w:w="2412"/>
            <w:tcMar>
              <w:top w:w="120" w:type="dxa"/>
              <w:bottom w:w="120" w:type="dxa"/>
              <w:left w:w="140" w:type="dxa"/>
              <w:right w:w="14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color w:val="1E293B"/>
                <w:sz w:val="18"/>
              </w:rPr>
              <w:t>High-performance JDBC driver for remote TiDB Cloud MySQL cluster.</w:t>
            </w:r>
          </w:p>
        </w:tc>
      </w:tr>
      <w:tr>
        <w:tc>
          <w:tcPr>
            <w:tcW w:type="dxa" w:w="2412"/>
            <w:tcMar>
              <w:top w:w="120" w:type="dxa"/>
              <w:bottom w:w="12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color w:val="1E293B"/>
                <w:sz w:val="18"/>
              </w:rPr>
            </w:r>
            <w:r>
              <w:rPr>
                <w:b/>
                <w:color w:val="1E293B"/>
                <w:sz w:val="18"/>
              </w:rPr>
              <w:t>SQLite JDBC Driver</w:t>
            </w:r>
            <w:r>
              <w:rPr>
                <w:color w:val="1E293B"/>
                <w:sz w:val="18"/>
              </w:rPr>
            </w:r>
          </w:p>
        </w:tc>
        <w:tc>
          <w:tcPr>
            <w:tcW w:type="dxa" w:w="2412"/>
            <w:tcMar>
              <w:top w:w="120" w:type="dxa"/>
              <w:bottom w:w="12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color w:val="1E293B"/>
                <w:sz w:val="18"/>
              </w:rPr>
              <w:t>3.45.3.0</w:t>
            </w:r>
          </w:p>
        </w:tc>
        <w:tc>
          <w:tcPr>
            <w:tcW w:type="dxa" w:w="2412"/>
            <w:tcMar>
              <w:top w:w="120" w:type="dxa"/>
              <w:bottom w:w="12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color w:val="1E293B"/>
                <w:sz w:val="18"/>
              </w:rPr>
              <w:t>org.xerial:sqlite-jdbc</w:t>
            </w:r>
          </w:p>
        </w:tc>
        <w:tc>
          <w:tcPr>
            <w:tcW w:type="dxa" w:w="2412"/>
            <w:tcMar>
              <w:top w:w="120" w:type="dxa"/>
              <w:bottom w:w="12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color w:val="1E293B"/>
                <w:sz w:val="18"/>
              </w:rPr>
              <w:t>Zero-configuration local embedded SQLite database engine.</w:t>
            </w:r>
          </w:p>
        </w:tc>
      </w:tr>
      <w:tr>
        <w:tc>
          <w:tcPr>
            <w:tcW w:type="dxa" w:w="2412"/>
            <w:tcMar>
              <w:top w:w="120" w:type="dxa"/>
              <w:bottom w:w="120" w:type="dxa"/>
              <w:left w:w="140" w:type="dxa"/>
              <w:right w:w="14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color w:val="1E293B"/>
                <w:sz w:val="18"/>
              </w:rPr>
            </w:r>
            <w:r>
              <w:rPr>
                <w:b/>
                <w:color w:val="1E293B"/>
                <w:sz w:val="18"/>
              </w:rPr>
              <w:t>OpenCSV</w:t>
            </w:r>
            <w:r>
              <w:rPr>
                <w:color w:val="1E293B"/>
                <w:sz w:val="18"/>
              </w:rPr>
            </w:r>
          </w:p>
        </w:tc>
        <w:tc>
          <w:tcPr>
            <w:tcW w:type="dxa" w:w="2412"/>
            <w:tcMar>
              <w:top w:w="120" w:type="dxa"/>
              <w:bottom w:w="120" w:type="dxa"/>
              <w:left w:w="140" w:type="dxa"/>
              <w:right w:w="14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color w:val="1E293B"/>
                <w:sz w:val="18"/>
              </w:rPr>
              <w:t>5.9</w:t>
            </w:r>
          </w:p>
        </w:tc>
        <w:tc>
          <w:tcPr>
            <w:tcW w:type="dxa" w:w="2412"/>
            <w:tcMar>
              <w:top w:w="120" w:type="dxa"/>
              <w:bottom w:w="120" w:type="dxa"/>
              <w:left w:w="140" w:type="dxa"/>
              <w:right w:w="14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color w:val="1E293B"/>
                <w:sz w:val="18"/>
              </w:rPr>
              <w:t>com.opencsv:opencsv</w:t>
            </w:r>
          </w:p>
        </w:tc>
        <w:tc>
          <w:tcPr>
            <w:tcW w:type="dxa" w:w="2412"/>
            <w:tcMar>
              <w:top w:w="120" w:type="dxa"/>
              <w:bottom w:w="120" w:type="dxa"/>
              <w:left w:w="140" w:type="dxa"/>
              <w:right w:w="14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color w:val="1E293B"/>
                <w:sz w:val="18"/>
              </w:rPr>
              <w:t>Generates structured CSV spreadsheets for student deficiency checklists.</w:t>
            </w:r>
          </w:p>
        </w:tc>
      </w:tr>
      <w:tr>
        <w:tc>
          <w:tcPr>
            <w:tcW w:type="dxa" w:w="2412"/>
            <w:tcMar>
              <w:top w:w="120" w:type="dxa"/>
              <w:bottom w:w="12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color w:val="1E293B"/>
                <w:sz w:val="18"/>
              </w:rPr>
            </w:r>
            <w:r>
              <w:rPr>
                <w:b/>
                <w:color w:val="1E293B"/>
                <w:sz w:val="18"/>
              </w:rPr>
              <w:t>Apache Commons Lang3</w:t>
            </w:r>
            <w:r>
              <w:rPr>
                <w:color w:val="1E293B"/>
                <w:sz w:val="18"/>
              </w:rPr>
            </w:r>
          </w:p>
        </w:tc>
        <w:tc>
          <w:tcPr>
            <w:tcW w:type="dxa" w:w="2412"/>
            <w:tcMar>
              <w:top w:w="120" w:type="dxa"/>
              <w:bottom w:w="12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color w:val="1E293B"/>
                <w:sz w:val="18"/>
              </w:rPr>
              <w:t>3.13.0</w:t>
            </w:r>
          </w:p>
        </w:tc>
        <w:tc>
          <w:tcPr>
            <w:tcW w:type="dxa" w:w="2412"/>
            <w:tcMar>
              <w:top w:w="120" w:type="dxa"/>
              <w:bottom w:w="12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color w:val="1E293B"/>
                <w:sz w:val="18"/>
              </w:rPr>
              <w:t>org.apache.commons:commons-lang3</w:t>
            </w:r>
          </w:p>
        </w:tc>
        <w:tc>
          <w:tcPr>
            <w:tcW w:type="dxa" w:w="2412"/>
            <w:tcMar>
              <w:top w:w="120" w:type="dxa"/>
              <w:bottom w:w="12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color w:val="1E293B"/>
                <w:sz w:val="18"/>
              </w:rPr>
              <w:t>String utilities, escaping, and formatting.</w:t>
            </w:r>
          </w:p>
        </w:tc>
      </w:tr>
      <w:tr>
        <w:tc>
          <w:tcPr>
            <w:tcW w:type="dxa" w:w="2412"/>
            <w:tcMar>
              <w:top w:w="120" w:type="dxa"/>
              <w:bottom w:w="120" w:type="dxa"/>
              <w:left w:w="140" w:type="dxa"/>
              <w:right w:w="14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color w:val="1E293B"/>
                <w:sz w:val="18"/>
              </w:rPr>
            </w:r>
            <w:r>
              <w:rPr>
                <w:b/>
                <w:color w:val="1E293B"/>
                <w:sz w:val="18"/>
              </w:rPr>
              <w:t>Apache Commons BeanUtils</w:t>
            </w:r>
            <w:r>
              <w:rPr>
                <w:color w:val="1E293B"/>
                <w:sz w:val="18"/>
              </w:rPr>
            </w:r>
          </w:p>
        </w:tc>
        <w:tc>
          <w:tcPr>
            <w:tcW w:type="dxa" w:w="2412"/>
            <w:tcMar>
              <w:top w:w="120" w:type="dxa"/>
              <w:bottom w:w="120" w:type="dxa"/>
              <w:left w:w="140" w:type="dxa"/>
              <w:right w:w="14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color w:val="1E293B"/>
                <w:sz w:val="18"/>
              </w:rPr>
              <w:t>1.9.4</w:t>
            </w:r>
          </w:p>
        </w:tc>
        <w:tc>
          <w:tcPr>
            <w:tcW w:type="dxa" w:w="2412"/>
            <w:tcMar>
              <w:top w:w="120" w:type="dxa"/>
              <w:bottom w:w="120" w:type="dxa"/>
              <w:left w:w="140" w:type="dxa"/>
              <w:right w:w="14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color w:val="1E293B"/>
                <w:sz w:val="18"/>
              </w:rPr>
              <w:t>commons-beanutils:commons-beanutils</w:t>
            </w:r>
          </w:p>
        </w:tc>
        <w:tc>
          <w:tcPr>
            <w:tcW w:type="dxa" w:w="2412"/>
            <w:tcMar>
              <w:top w:w="120" w:type="dxa"/>
              <w:bottom w:w="120" w:type="dxa"/>
              <w:left w:w="140" w:type="dxa"/>
              <w:right w:w="14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color w:val="1E293B"/>
                <w:sz w:val="18"/>
              </w:rPr>
              <w:t>Dynamic property extraction for table cell binding.</w:t>
            </w:r>
          </w:p>
        </w:tc>
      </w:tr>
      <w:tr>
        <w:tc>
          <w:tcPr>
            <w:tcW w:type="dxa" w:w="2412"/>
            <w:tcMar>
              <w:top w:w="120" w:type="dxa"/>
              <w:bottom w:w="12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color w:val="1E293B"/>
                <w:sz w:val="18"/>
              </w:rPr>
            </w:r>
            <w:r>
              <w:rPr>
                <w:b/>
                <w:color w:val="1E293B"/>
                <w:sz w:val="18"/>
              </w:rPr>
              <w:t>SLF4J API</w:t>
            </w:r>
            <w:r>
              <w:rPr>
                <w:color w:val="1E293B"/>
                <w:sz w:val="18"/>
              </w:rPr>
            </w:r>
          </w:p>
        </w:tc>
        <w:tc>
          <w:tcPr>
            <w:tcW w:type="dxa" w:w="2412"/>
            <w:tcMar>
              <w:top w:w="120" w:type="dxa"/>
              <w:bottom w:w="12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color w:val="1E293B"/>
                <w:sz w:val="18"/>
              </w:rPr>
              <w:t>1.7.36</w:t>
            </w:r>
          </w:p>
        </w:tc>
        <w:tc>
          <w:tcPr>
            <w:tcW w:type="dxa" w:w="2412"/>
            <w:tcMar>
              <w:top w:w="120" w:type="dxa"/>
              <w:bottom w:w="12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color w:val="1E293B"/>
                <w:sz w:val="18"/>
              </w:rPr>
              <w:t>org.slf4j:slf4j-api</w:t>
            </w:r>
          </w:p>
        </w:tc>
        <w:tc>
          <w:tcPr>
            <w:tcW w:type="dxa" w:w="2412"/>
            <w:tcMar>
              <w:top w:w="120" w:type="dxa"/>
              <w:bottom w:w="12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color w:val="1E293B"/>
                <w:sz w:val="18"/>
              </w:rPr>
              <w:t>Standardized logging abstraction.</w:t>
            </w:r>
          </w:p>
        </w:tc>
      </w:tr>
    </w:tbl>
    <w:p>
      <w:pPr>
        <w:spacing w:after="120"/>
      </w:pPr>
    </w:p>
    <w:p>
      <w:pPr>
        <w:keepNext/>
        <w:spacing w:before="280" w:after="100"/>
      </w:pPr>
      <w:r>
        <w:rPr>
          <w:rFonts w:ascii="Arial" w:hAnsi="Arial"/>
          <w:b/>
          <w:color w:val="1E3A8A"/>
          <w:sz w:val="28"/>
        </w:rPr>
        <w:t>3. Exhaustive File Types &amp; Extensions Dictionary</w:t>
      </w:r>
    </w:p>
    <w:p>
      <w:pPr>
        <w:spacing w:before="60" w:after="80" w:line="276" w:lineRule="auto"/>
      </w:pPr>
      <w:r>
        <w:rPr>
          <w:sz w:val="20"/>
        </w:rPr>
        <w:t>The repository contains 19 distinct file extensions. Below is the technical catalog describing each file type's purpose and location:</w:t>
      </w:r>
    </w:p>
    <w:tbl>
      <w:tblPr>
        <w:tblW w:type="auto" w:w="0"/>
        <w:jc w:val="center"/>
        <w:tblLook w:firstColumn="1" w:firstRow="1" w:lastColumn="0" w:lastRow="0" w:noHBand="0" w:noVBand="1" w:val="04A0"/>
      </w:tblPr>
      <w:tblGrid>
        <w:gridCol w:w="9648"/>
      </w:tblGrid>
      <w:tr>
        <w:tc>
          <w:tcPr>
            <w:tcW w:type="dxa" w:w="9360"/>
            <w:shd w:fill="0F172A"/>
            <w:tcMar>
              <w:top w:w="120" w:type="dxa"/>
              <w:bottom w:w="120" w:type="dxa"/>
              <w:left w:w="180" w:type="dxa"/>
              <w:right w:w="180" w:type="dxa"/>
            </w:tcMar>
            <w:tcBorders>
              <w:top w:val="single" w:sz="8" w:space="0" w:color="334155"/>
              <w:left w:val="single" w:sz="8" w:space="0" w:color="334155"/>
              <w:bottom w:val="single" w:sz="8" w:space="0" w:color="334155"/>
              <w:right w:val="single" w:sz="8" w:space="0" w:color="334155"/>
            </w:tcBorders>
          </w:tcPr>
          <w:p>
            <w:pPr>
              <w:spacing w:before="40" w:after="40" w:line="252" w:lineRule="auto"/>
            </w:pPr>
            <w:r>
              <w:rPr>
                <w:rFonts w:ascii="Consolas" w:hAnsi="Consolas"/>
                <w:color w:val="E2E8F0"/>
                <w:sz w:val="17"/>
              </w:rPr>
              <w:t>AcadsCatchUp</w:t>
              <w:br/>
              <w:t>├── .github/workflows/*.yml          ──► CI/CD automation pipelines</w:t>
              <w:br/>
              <w:t>├── dist/                            ──► Distribution binaries &amp; portable archives</w:t>
              <w:br/>
              <w:t>│   ├── *.jar, *.exe, *.zip, *.tar.gz</w:t>
              <w:br/>
              <w:t>│   ├── *.bat, *.sh, *.vbs, *.txt</w:t>
              <w:br/>
              <w:t>│   └── acadscatchup.db</w:t>
              <w:br/>
              <w:t>├── src/main/java/**/*.java          ──► Compiled Java application sources</w:t>
              <w:br/>
              <w:t>├── src/main/resources/</w:t>
              <w:br/>
              <w:t>│   ├── com/acadscatchup/css/*.css   ──► Dark-mode JavaFX stylesheet</w:t>
              <w:br/>
              <w:t>│   ├── com/acadscatchup/fxml/*.fxml ──► Declarative view layouts</w:t>
              <w:br/>
              <w:t>│   ├── com/acadscatchup/img/*.png   ──► Icons and branding assets</w:t>
              <w:br/>
              <w:t>│   └── db/*.sql                     ──► Database initialization script</w:t>
              <w:br/>
              <w:t>├── *.properties, *.json, *.xml      ──► Configuration, versioning &amp; POM</w:t>
              <w:br/>
              <w:t>└── *.ps1, *.bat                     ──► Build, packaging &amp; verification scripts</w:t>
            </w:r>
          </w:p>
        </w:tc>
      </w:tr>
    </w:tbl>
    <w:p>
      <w:pPr>
        <w:spacing w:after="120"/>
      </w:pPr>
    </w:p>
    <w:p>
      <w:pPr>
        <w:keepNext/>
        <w:spacing w:before="200" w:after="80"/>
      </w:pPr>
      <w:r>
        <w:rPr>
          <w:rFonts w:ascii="Arial" w:hAnsi="Arial"/>
          <w:b/>
          <w:color w:val="475569"/>
          <w:sz w:val="24"/>
        </w:rPr>
        <w:t>Detailed File Type Catalog</w:t>
      </w:r>
    </w:p>
    <w:tbl>
      <w:tblPr>
        <w:tblW w:type="auto" w:w="0"/>
        <w:jc w:val="center"/>
        <w:tblLayout w:type="autofit"/>
        <w:tblLook w:firstColumn="1" w:firstRow="1" w:lastColumn="0" w:lastRow="0" w:noHBand="0" w:noVBand="1" w:val="04A0"/>
      </w:tblPr>
      <w:tblGrid>
        <w:gridCol w:w="2412"/>
        <w:gridCol w:w="2412"/>
        <w:gridCol w:w="2412"/>
        <w:gridCol w:w="2412"/>
      </w:tblGrid>
      <w:tr>
        <w:tc>
          <w:tcPr>
            <w:tcW w:type="dxa" w:w="2412"/>
            <w:tcMar>
              <w:top w:w="120" w:type="dxa"/>
              <w:bottom w:w="120" w:type="dxa"/>
              <w:left w:w="140" w:type="dxa"/>
              <w:right w:w="140" w:type="dxa"/>
            </w:tcMar>
            <w:shd w:fill="1E293B"/>
            <w:tcBorders>
              <w:top w:val="single" w:sz="6" w:space="0" w:color="0F172A"/>
              <w:left w:val="single" w:sz="4" w:space="0" w:color="334155"/>
              <w:bottom w:val="single" w:sz="6" w:space="0" w:color="0F172A"/>
              <w:right w:val="single" w:sz="4" w:space="0" w:color="334155"/>
            </w:tcBorders>
          </w:tcPr>
          <w:p>
            <w:pPr>
              <w:spacing w:before="40" w:after="40" w:line="276" w:lineRule="auto"/>
            </w:pPr>
            <w:r>
              <w:rPr>
                <w:b/>
                <w:color w:val="F8FAFC"/>
                <w:sz w:val="19"/>
              </w:rPr>
              <w:t>Extension</w:t>
            </w:r>
          </w:p>
        </w:tc>
        <w:tc>
          <w:tcPr>
            <w:tcW w:type="dxa" w:w="2412"/>
            <w:tcMar>
              <w:top w:w="120" w:type="dxa"/>
              <w:bottom w:w="120" w:type="dxa"/>
              <w:left w:w="140" w:type="dxa"/>
              <w:right w:w="140" w:type="dxa"/>
            </w:tcMar>
            <w:shd w:fill="1E293B"/>
            <w:tcBorders>
              <w:top w:val="single" w:sz="6" w:space="0" w:color="0F172A"/>
              <w:left w:val="single" w:sz="4" w:space="0" w:color="334155"/>
              <w:bottom w:val="single" w:sz="6" w:space="0" w:color="0F172A"/>
              <w:right w:val="single" w:sz="4" w:space="0" w:color="334155"/>
            </w:tcBorders>
          </w:tcPr>
          <w:p>
            <w:pPr>
              <w:spacing w:before="40" w:after="40" w:line="276" w:lineRule="auto"/>
            </w:pPr>
            <w:r>
              <w:rPr>
                <w:b/>
                <w:color w:val="F8FAFC"/>
                <w:sz w:val="19"/>
              </w:rPr>
              <w:t>Category</w:t>
            </w:r>
          </w:p>
        </w:tc>
        <w:tc>
          <w:tcPr>
            <w:tcW w:type="dxa" w:w="2412"/>
            <w:tcMar>
              <w:top w:w="120" w:type="dxa"/>
              <w:bottom w:w="120" w:type="dxa"/>
              <w:left w:w="140" w:type="dxa"/>
              <w:right w:w="140" w:type="dxa"/>
            </w:tcMar>
            <w:shd w:fill="1E293B"/>
            <w:tcBorders>
              <w:top w:val="single" w:sz="6" w:space="0" w:color="0F172A"/>
              <w:left w:val="single" w:sz="4" w:space="0" w:color="334155"/>
              <w:bottom w:val="single" w:sz="6" w:space="0" w:color="0F172A"/>
              <w:right w:val="single" w:sz="4" w:space="0" w:color="334155"/>
            </w:tcBorders>
          </w:tcPr>
          <w:p>
            <w:pPr>
              <w:spacing w:before="40" w:after="40" w:line="276" w:lineRule="auto"/>
            </w:pPr>
            <w:r>
              <w:rPr>
                <w:b/>
                <w:color w:val="F8FAFC"/>
                <w:sz w:val="19"/>
              </w:rPr>
              <w:t>Exact Purpose in AcadsCatchUp</w:t>
            </w:r>
          </w:p>
        </w:tc>
        <w:tc>
          <w:tcPr>
            <w:tcW w:type="dxa" w:w="2412"/>
            <w:tcMar>
              <w:top w:w="120" w:type="dxa"/>
              <w:bottom w:w="120" w:type="dxa"/>
              <w:left w:w="140" w:type="dxa"/>
              <w:right w:w="140" w:type="dxa"/>
            </w:tcMar>
            <w:shd w:fill="1E293B"/>
            <w:tcBorders>
              <w:top w:val="single" w:sz="6" w:space="0" w:color="0F172A"/>
              <w:left w:val="single" w:sz="4" w:space="0" w:color="334155"/>
              <w:bottom w:val="single" w:sz="6" w:space="0" w:color="0F172A"/>
              <w:right w:val="single" w:sz="4" w:space="0" w:color="334155"/>
            </w:tcBorders>
          </w:tcPr>
          <w:p>
            <w:pPr>
              <w:spacing w:before="40" w:after="40" w:line="276" w:lineRule="auto"/>
            </w:pPr>
            <w:r>
              <w:rPr>
                <w:b/>
                <w:color w:val="F8FAFC"/>
                <w:sz w:val="19"/>
              </w:rPr>
              <w:t>Concrete Example Files</w:t>
            </w:r>
          </w:p>
        </w:tc>
      </w:tr>
      <w:tr>
        <w:tc>
          <w:tcPr>
            <w:tcW w:type="dxa" w:w="2412"/>
            <w:tcMar>
              <w:top w:w="120" w:type="dxa"/>
              <w:bottom w:w="120" w:type="dxa"/>
              <w:left w:w="140" w:type="dxa"/>
              <w:right w:w="14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color w:val="1E293B"/>
                <w:sz w:val="18"/>
              </w:rPr>
            </w:r>
            <w:r>
              <w:rPr>
                <w:b/>
                <w:color w:val="1E293B"/>
                <w:sz w:val="18"/>
              </w:rPr>
              <w:t>`.java`</w:t>
            </w:r>
            <w:r>
              <w:rPr>
                <w:color w:val="1E293B"/>
                <w:sz w:val="18"/>
              </w:rPr>
            </w:r>
          </w:p>
        </w:tc>
        <w:tc>
          <w:tcPr>
            <w:tcW w:type="dxa" w:w="2412"/>
            <w:tcMar>
              <w:top w:w="120" w:type="dxa"/>
              <w:bottom w:w="120" w:type="dxa"/>
              <w:left w:w="140" w:type="dxa"/>
              <w:right w:w="14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color w:val="1E293B"/>
                <w:sz w:val="18"/>
              </w:rPr>
              <w:t>Source Code</w:t>
            </w:r>
          </w:p>
        </w:tc>
        <w:tc>
          <w:tcPr>
            <w:tcW w:type="dxa" w:w="2412"/>
            <w:tcMar>
              <w:top w:w="120" w:type="dxa"/>
              <w:bottom w:w="120" w:type="dxa"/>
              <w:left w:w="140" w:type="dxa"/>
              <w:right w:w="14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color w:val="1E293B"/>
                <w:sz w:val="18"/>
              </w:rPr>
              <w:t>Contains all application logic: controllers, models, DAOs, utilities, and security guards.</w:t>
            </w:r>
          </w:p>
        </w:tc>
        <w:tc>
          <w:tcPr>
            <w:tcW w:type="dxa" w:w="2412"/>
            <w:tcMar>
              <w:top w:w="120" w:type="dxa"/>
              <w:bottom w:w="120" w:type="dxa"/>
              <w:left w:w="140" w:type="dxa"/>
              <w:right w:w="14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color w:val="1E293B"/>
                <w:sz w:val="18"/>
              </w:rPr>
              <w:t>AppLauncher.java`, `DBConnection.java`, `EmailService.java`, `LiveSyncService.java</w:t>
            </w:r>
          </w:p>
        </w:tc>
      </w:tr>
      <w:tr>
        <w:tc>
          <w:tcPr>
            <w:tcW w:type="dxa" w:w="2412"/>
            <w:tcMar>
              <w:top w:w="120" w:type="dxa"/>
              <w:bottom w:w="12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color w:val="1E293B"/>
                <w:sz w:val="18"/>
              </w:rPr>
            </w:r>
            <w:r>
              <w:rPr>
                <w:b/>
                <w:color w:val="1E293B"/>
                <w:sz w:val="18"/>
              </w:rPr>
              <w:t>`.fxml`</w:t>
            </w:r>
            <w:r>
              <w:rPr>
                <w:color w:val="1E293B"/>
                <w:sz w:val="18"/>
              </w:rPr>
            </w:r>
          </w:p>
        </w:tc>
        <w:tc>
          <w:tcPr>
            <w:tcW w:type="dxa" w:w="2412"/>
            <w:tcMar>
              <w:top w:w="120" w:type="dxa"/>
              <w:bottom w:w="12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color w:val="1E293B"/>
                <w:sz w:val="18"/>
              </w:rPr>
              <w:t>UI Definition</w:t>
            </w:r>
          </w:p>
        </w:tc>
        <w:tc>
          <w:tcPr>
            <w:tcW w:type="dxa" w:w="2412"/>
            <w:tcMar>
              <w:top w:w="120" w:type="dxa"/>
              <w:bottom w:w="12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color w:val="1E293B"/>
                <w:sz w:val="18"/>
              </w:rPr>
              <w:t>XML-formatted layout trees defining user interfaces for screens and dialogs.</w:t>
            </w:r>
          </w:p>
        </w:tc>
        <w:tc>
          <w:tcPr>
            <w:tcW w:type="dxa" w:w="2412"/>
            <w:tcMar>
              <w:top w:w="120" w:type="dxa"/>
              <w:bottom w:w="12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color w:val="1E293B"/>
                <w:sz w:val="18"/>
              </w:rPr>
              <w:t>login.fxml`, `prof_dashboard.fxml`, `student_dashboard.fxml`, `admin_dashboard.fxml</w:t>
            </w:r>
          </w:p>
        </w:tc>
      </w:tr>
      <w:tr>
        <w:tc>
          <w:tcPr>
            <w:tcW w:type="dxa" w:w="2412"/>
            <w:tcMar>
              <w:top w:w="120" w:type="dxa"/>
              <w:bottom w:w="120" w:type="dxa"/>
              <w:left w:w="140" w:type="dxa"/>
              <w:right w:w="14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color w:val="1E293B"/>
                <w:sz w:val="18"/>
              </w:rPr>
            </w:r>
            <w:r>
              <w:rPr>
                <w:b/>
                <w:color w:val="1E293B"/>
                <w:sz w:val="18"/>
              </w:rPr>
              <w:t>`.css`</w:t>
            </w:r>
            <w:r>
              <w:rPr>
                <w:color w:val="1E293B"/>
                <w:sz w:val="18"/>
              </w:rPr>
            </w:r>
          </w:p>
        </w:tc>
        <w:tc>
          <w:tcPr>
            <w:tcW w:type="dxa" w:w="2412"/>
            <w:tcMar>
              <w:top w:w="120" w:type="dxa"/>
              <w:bottom w:w="120" w:type="dxa"/>
              <w:left w:w="140" w:type="dxa"/>
              <w:right w:w="14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color w:val="1E293B"/>
                <w:sz w:val="18"/>
              </w:rPr>
              <w:t>Stylesheet</w:t>
            </w:r>
          </w:p>
        </w:tc>
        <w:tc>
          <w:tcPr>
            <w:tcW w:type="dxa" w:w="2412"/>
            <w:tcMar>
              <w:top w:w="120" w:type="dxa"/>
              <w:bottom w:w="120" w:type="dxa"/>
              <w:left w:w="140" w:type="dxa"/>
              <w:right w:w="14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color w:val="1E293B"/>
                <w:sz w:val="18"/>
              </w:rPr>
              <w:t>Custom stylesheet applying dark-theme color tokens, borders, and button hover states.</w:t>
            </w:r>
          </w:p>
        </w:tc>
        <w:tc>
          <w:tcPr>
            <w:tcW w:type="dxa" w:w="2412"/>
            <w:tcMar>
              <w:top w:w="120" w:type="dxa"/>
              <w:bottom w:w="120" w:type="dxa"/>
              <w:left w:w="140" w:type="dxa"/>
              <w:right w:w="14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color w:val="1E293B"/>
                <w:sz w:val="18"/>
              </w:rPr>
              <w:t>src/main/resources/com/acadscatchup/css/style.css</w:t>
            </w:r>
          </w:p>
        </w:tc>
      </w:tr>
      <w:tr>
        <w:tc>
          <w:tcPr>
            <w:tcW w:type="dxa" w:w="2412"/>
            <w:tcMar>
              <w:top w:w="120" w:type="dxa"/>
              <w:bottom w:w="12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color w:val="1E293B"/>
                <w:sz w:val="18"/>
              </w:rPr>
            </w:r>
            <w:r>
              <w:rPr>
                <w:b/>
                <w:color w:val="1E293B"/>
                <w:sz w:val="18"/>
              </w:rPr>
              <w:t>`.sql`</w:t>
            </w:r>
            <w:r>
              <w:rPr>
                <w:color w:val="1E293B"/>
                <w:sz w:val="18"/>
              </w:rPr>
            </w:r>
          </w:p>
        </w:tc>
        <w:tc>
          <w:tcPr>
            <w:tcW w:type="dxa" w:w="2412"/>
            <w:tcMar>
              <w:top w:w="120" w:type="dxa"/>
              <w:bottom w:w="12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color w:val="1E293B"/>
                <w:sz w:val="18"/>
              </w:rPr>
              <w:t>SQL Script</w:t>
            </w:r>
          </w:p>
        </w:tc>
        <w:tc>
          <w:tcPr>
            <w:tcW w:type="dxa" w:w="2412"/>
            <w:tcMar>
              <w:top w:w="120" w:type="dxa"/>
              <w:bottom w:w="12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color w:val="1E293B"/>
                <w:sz w:val="18"/>
              </w:rPr>
              <w:t>DDL/DML script defining the initial database schema, indexes, and seed records.</w:t>
            </w:r>
          </w:p>
        </w:tc>
        <w:tc>
          <w:tcPr>
            <w:tcW w:type="dxa" w:w="2412"/>
            <w:tcMar>
              <w:top w:w="120" w:type="dxa"/>
              <w:bottom w:w="12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color w:val="1E293B"/>
                <w:sz w:val="18"/>
              </w:rPr>
              <w:t>src/main/resources/db/init.sql</w:t>
            </w:r>
          </w:p>
        </w:tc>
      </w:tr>
      <w:tr>
        <w:tc>
          <w:tcPr>
            <w:tcW w:type="dxa" w:w="2412"/>
            <w:tcMar>
              <w:top w:w="120" w:type="dxa"/>
              <w:bottom w:w="120" w:type="dxa"/>
              <w:left w:w="140" w:type="dxa"/>
              <w:right w:w="14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color w:val="1E293B"/>
                <w:sz w:val="18"/>
              </w:rPr>
            </w:r>
            <w:r>
              <w:rPr>
                <w:b/>
                <w:color w:val="1E293B"/>
                <w:sz w:val="18"/>
              </w:rPr>
              <w:t>`.db`</w:t>
            </w:r>
            <w:r>
              <w:rPr>
                <w:color w:val="1E293B"/>
                <w:sz w:val="18"/>
              </w:rPr>
            </w:r>
          </w:p>
        </w:tc>
        <w:tc>
          <w:tcPr>
            <w:tcW w:type="dxa" w:w="2412"/>
            <w:tcMar>
              <w:top w:w="120" w:type="dxa"/>
              <w:bottom w:w="120" w:type="dxa"/>
              <w:left w:w="140" w:type="dxa"/>
              <w:right w:w="14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color w:val="1E293B"/>
                <w:sz w:val="18"/>
              </w:rPr>
              <w:t>Database</w:t>
            </w:r>
          </w:p>
        </w:tc>
        <w:tc>
          <w:tcPr>
            <w:tcW w:type="dxa" w:w="2412"/>
            <w:tcMar>
              <w:top w:w="120" w:type="dxa"/>
              <w:bottom w:w="120" w:type="dxa"/>
              <w:left w:w="140" w:type="dxa"/>
              <w:right w:w="14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color w:val="1E293B"/>
                <w:sz w:val="18"/>
              </w:rPr>
              <w:t>SQLite embedded database file containing local offline tables and records.</w:t>
            </w:r>
          </w:p>
        </w:tc>
        <w:tc>
          <w:tcPr>
            <w:tcW w:type="dxa" w:w="2412"/>
            <w:tcMar>
              <w:top w:w="120" w:type="dxa"/>
              <w:bottom w:w="120" w:type="dxa"/>
              <w:left w:w="140" w:type="dxa"/>
              <w:right w:w="14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color w:val="1E293B"/>
                <w:sz w:val="18"/>
              </w:rPr>
              <w:t>acadscatchup.db`, `dist/AcadsCatchUp-Portable/acadscatchup.db</w:t>
            </w:r>
          </w:p>
        </w:tc>
      </w:tr>
      <w:tr>
        <w:tc>
          <w:tcPr>
            <w:tcW w:type="dxa" w:w="2412"/>
            <w:tcMar>
              <w:top w:w="120" w:type="dxa"/>
              <w:bottom w:w="12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color w:val="1E293B"/>
                <w:sz w:val="18"/>
              </w:rPr>
            </w:r>
            <w:r>
              <w:rPr>
                <w:b/>
                <w:color w:val="1E293B"/>
                <w:sz w:val="18"/>
              </w:rPr>
              <w:t>`.properties`</w:t>
            </w:r>
            <w:r>
              <w:rPr>
                <w:color w:val="1E293B"/>
                <w:sz w:val="18"/>
              </w:rPr>
            </w:r>
          </w:p>
        </w:tc>
        <w:tc>
          <w:tcPr>
            <w:tcW w:type="dxa" w:w="2412"/>
            <w:tcMar>
              <w:top w:w="120" w:type="dxa"/>
              <w:bottom w:w="12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color w:val="1E293B"/>
                <w:sz w:val="18"/>
              </w:rPr>
              <w:t>Configuration</w:t>
            </w:r>
          </w:p>
        </w:tc>
        <w:tc>
          <w:tcPr>
            <w:tcW w:type="dxa" w:w="2412"/>
            <w:tcMar>
              <w:top w:w="120" w:type="dxa"/>
              <w:bottom w:w="12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color w:val="1E293B"/>
                <w:sz w:val="18"/>
              </w:rPr>
              <w:t>Java standard key-value configuration file for external database credentials.</w:t>
            </w:r>
          </w:p>
        </w:tc>
        <w:tc>
          <w:tcPr>
            <w:tcW w:type="dxa" w:w="2412"/>
            <w:tcMar>
              <w:top w:w="120" w:type="dxa"/>
              <w:bottom w:w="12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color w:val="1E293B"/>
                <w:sz w:val="18"/>
              </w:rPr>
              <w:t>database.properties`, `src/main/resources/database.properties</w:t>
            </w:r>
          </w:p>
        </w:tc>
      </w:tr>
      <w:tr>
        <w:tc>
          <w:tcPr>
            <w:tcW w:type="dxa" w:w="2412"/>
            <w:tcMar>
              <w:top w:w="120" w:type="dxa"/>
              <w:bottom w:w="120" w:type="dxa"/>
              <w:left w:w="140" w:type="dxa"/>
              <w:right w:w="14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color w:val="1E293B"/>
                <w:sz w:val="18"/>
              </w:rPr>
            </w:r>
            <w:r>
              <w:rPr>
                <w:b/>
                <w:color w:val="1E293B"/>
                <w:sz w:val="18"/>
              </w:rPr>
              <w:t>`.json`</w:t>
            </w:r>
            <w:r>
              <w:rPr>
                <w:color w:val="1E293B"/>
                <w:sz w:val="18"/>
              </w:rPr>
            </w:r>
          </w:p>
        </w:tc>
        <w:tc>
          <w:tcPr>
            <w:tcW w:type="dxa" w:w="2412"/>
            <w:tcMar>
              <w:top w:w="120" w:type="dxa"/>
              <w:bottom w:w="120" w:type="dxa"/>
              <w:left w:w="140" w:type="dxa"/>
              <w:right w:w="14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color w:val="1E293B"/>
                <w:sz w:val="18"/>
              </w:rPr>
              <w:t>Metadata</w:t>
            </w:r>
          </w:p>
        </w:tc>
        <w:tc>
          <w:tcPr>
            <w:tcW w:type="dxa" w:w="2412"/>
            <w:tcMar>
              <w:top w:w="120" w:type="dxa"/>
              <w:bottom w:w="120" w:type="dxa"/>
              <w:left w:w="140" w:type="dxa"/>
              <w:right w:w="14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color w:val="1E293B"/>
                <w:sz w:val="18"/>
              </w:rPr>
              <w:t>Manifest declaring latest available version, download URLs, and release notes.</w:t>
            </w:r>
          </w:p>
        </w:tc>
        <w:tc>
          <w:tcPr>
            <w:tcW w:type="dxa" w:w="2412"/>
            <w:tcMar>
              <w:top w:w="120" w:type="dxa"/>
              <w:bottom w:w="120" w:type="dxa"/>
              <w:left w:w="140" w:type="dxa"/>
              <w:right w:w="14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color w:val="1E293B"/>
                <w:sz w:val="18"/>
              </w:rPr>
              <w:t>`version.json` (root and remote on GitHub)</w:t>
            </w:r>
          </w:p>
        </w:tc>
      </w:tr>
      <w:tr>
        <w:tc>
          <w:tcPr>
            <w:tcW w:type="dxa" w:w="2412"/>
            <w:tcMar>
              <w:top w:w="120" w:type="dxa"/>
              <w:bottom w:w="12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color w:val="1E293B"/>
                <w:sz w:val="18"/>
              </w:rPr>
            </w:r>
            <w:r>
              <w:rPr>
                <w:b/>
                <w:color w:val="1E293B"/>
                <w:sz w:val="18"/>
              </w:rPr>
              <w:t>`.xml`</w:t>
            </w:r>
            <w:r>
              <w:rPr>
                <w:color w:val="1E293B"/>
                <w:sz w:val="18"/>
              </w:rPr>
            </w:r>
          </w:p>
        </w:tc>
        <w:tc>
          <w:tcPr>
            <w:tcW w:type="dxa" w:w="2412"/>
            <w:tcMar>
              <w:top w:w="120" w:type="dxa"/>
              <w:bottom w:w="12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color w:val="1E293B"/>
                <w:sz w:val="18"/>
              </w:rPr>
              <w:t>Build Descriptor</w:t>
            </w:r>
          </w:p>
        </w:tc>
        <w:tc>
          <w:tcPr>
            <w:tcW w:type="dxa" w:w="2412"/>
            <w:tcMar>
              <w:top w:w="120" w:type="dxa"/>
              <w:bottom w:w="12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color w:val="1E293B"/>
                <w:sz w:val="18"/>
              </w:rPr>
              <w:t>Maven Project Object Model (POM) declaring dependencies, plugins, and JDK target.</w:t>
            </w:r>
          </w:p>
        </w:tc>
        <w:tc>
          <w:tcPr>
            <w:tcW w:type="dxa" w:w="2412"/>
            <w:tcMar>
              <w:top w:w="120" w:type="dxa"/>
              <w:bottom w:w="12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color w:val="1E293B"/>
                <w:sz w:val="18"/>
              </w:rPr>
              <w:t>pom.xml</w:t>
            </w:r>
          </w:p>
        </w:tc>
      </w:tr>
      <w:tr>
        <w:tc>
          <w:tcPr>
            <w:tcW w:type="dxa" w:w="2412"/>
            <w:tcMar>
              <w:top w:w="120" w:type="dxa"/>
              <w:bottom w:w="120" w:type="dxa"/>
              <w:left w:w="140" w:type="dxa"/>
              <w:right w:w="14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color w:val="1E293B"/>
                <w:sz w:val="18"/>
              </w:rPr>
            </w:r>
            <w:r>
              <w:rPr>
                <w:b/>
                <w:color w:val="1E293B"/>
                <w:sz w:val="18"/>
              </w:rPr>
              <w:t>`.bat`</w:t>
            </w:r>
            <w:r>
              <w:rPr>
                <w:color w:val="1E293B"/>
                <w:sz w:val="18"/>
              </w:rPr>
            </w:r>
          </w:p>
        </w:tc>
        <w:tc>
          <w:tcPr>
            <w:tcW w:type="dxa" w:w="2412"/>
            <w:tcMar>
              <w:top w:w="120" w:type="dxa"/>
              <w:bottom w:w="120" w:type="dxa"/>
              <w:left w:w="140" w:type="dxa"/>
              <w:right w:w="14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color w:val="1E293B"/>
                <w:sz w:val="18"/>
              </w:rPr>
              <w:t>Windows Script</w:t>
            </w:r>
          </w:p>
        </w:tc>
        <w:tc>
          <w:tcPr>
            <w:tcW w:type="dxa" w:w="2412"/>
            <w:tcMar>
              <w:top w:w="120" w:type="dxa"/>
              <w:bottom w:w="120" w:type="dxa"/>
              <w:left w:w="140" w:type="dxa"/>
              <w:right w:w="14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color w:val="1E293B"/>
                <w:sz w:val="18"/>
              </w:rPr>
              <w:t>Windows command shell scripts for compiling, packaging, launching, and updating.</w:t>
            </w:r>
          </w:p>
        </w:tc>
        <w:tc>
          <w:tcPr>
            <w:tcW w:type="dxa" w:w="2412"/>
            <w:tcMar>
              <w:top w:w="120" w:type="dxa"/>
              <w:bottom w:w="120" w:type="dxa"/>
              <w:left w:w="140" w:type="dxa"/>
              <w:right w:w="14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color w:val="1E293B"/>
                <w:sz w:val="18"/>
              </w:rPr>
              <w:t>build_app.bat`, `run.bat`, `Launch_AcadsCatchUp.bat`, `update_handoff.bat</w:t>
            </w:r>
          </w:p>
        </w:tc>
      </w:tr>
      <w:tr>
        <w:tc>
          <w:tcPr>
            <w:tcW w:type="dxa" w:w="2412"/>
            <w:tcMar>
              <w:top w:w="120" w:type="dxa"/>
              <w:bottom w:w="12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color w:val="1E293B"/>
                <w:sz w:val="18"/>
              </w:rPr>
            </w:r>
            <w:r>
              <w:rPr>
                <w:b/>
                <w:color w:val="1E293B"/>
                <w:sz w:val="18"/>
              </w:rPr>
              <w:t>`.ps1`</w:t>
            </w:r>
            <w:r>
              <w:rPr>
                <w:color w:val="1E293B"/>
                <w:sz w:val="18"/>
              </w:rPr>
            </w:r>
          </w:p>
        </w:tc>
        <w:tc>
          <w:tcPr>
            <w:tcW w:type="dxa" w:w="2412"/>
            <w:tcMar>
              <w:top w:w="120" w:type="dxa"/>
              <w:bottom w:w="12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color w:val="1E293B"/>
                <w:sz w:val="18"/>
              </w:rPr>
              <w:t>PowerShell Script</w:t>
            </w:r>
          </w:p>
        </w:tc>
        <w:tc>
          <w:tcPr>
            <w:tcW w:type="dxa" w:w="2412"/>
            <w:tcMar>
              <w:top w:w="120" w:type="dxa"/>
              <w:bottom w:w="12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color w:val="1E293B"/>
                <w:sz w:val="18"/>
              </w:rPr>
              <w:t>Automation scripts for fat JAR packaging, Linux archive creation, and DeveloperGuard tests.</w:t>
            </w:r>
          </w:p>
        </w:tc>
        <w:tc>
          <w:tcPr>
            <w:tcW w:type="dxa" w:w="2412"/>
            <w:tcMar>
              <w:top w:w="120" w:type="dxa"/>
              <w:bottom w:w="12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color w:val="1E293B"/>
                <w:sz w:val="18"/>
              </w:rPr>
              <w:t>package_fatjar.ps1`, `package_linux.ps1`, `verify_developer_guard.ps1</w:t>
            </w:r>
          </w:p>
        </w:tc>
      </w:tr>
      <w:tr>
        <w:tc>
          <w:tcPr>
            <w:tcW w:type="dxa" w:w="2412"/>
            <w:tcMar>
              <w:top w:w="120" w:type="dxa"/>
              <w:bottom w:w="120" w:type="dxa"/>
              <w:left w:w="140" w:type="dxa"/>
              <w:right w:w="14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color w:val="1E293B"/>
                <w:sz w:val="18"/>
              </w:rPr>
            </w:r>
            <w:r>
              <w:rPr>
                <w:b/>
                <w:color w:val="1E293B"/>
                <w:sz w:val="18"/>
              </w:rPr>
              <w:t>`.sh`</w:t>
            </w:r>
            <w:r>
              <w:rPr>
                <w:color w:val="1E293B"/>
                <w:sz w:val="18"/>
              </w:rPr>
            </w:r>
          </w:p>
        </w:tc>
        <w:tc>
          <w:tcPr>
            <w:tcW w:type="dxa" w:w="2412"/>
            <w:tcMar>
              <w:top w:w="120" w:type="dxa"/>
              <w:bottom w:w="120" w:type="dxa"/>
              <w:left w:w="140" w:type="dxa"/>
              <w:right w:w="14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color w:val="1E293B"/>
                <w:sz w:val="18"/>
              </w:rPr>
              <w:t>Unix Shell Script</w:t>
            </w:r>
          </w:p>
        </w:tc>
        <w:tc>
          <w:tcPr>
            <w:tcW w:type="dxa" w:w="2412"/>
            <w:tcMar>
              <w:top w:w="120" w:type="dxa"/>
              <w:bottom w:w="120" w:type="dxa"/>
              <w:left w:w="140" w:type="dxa"/>
              <w:right w:w="14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color w:val="1E293B"/>
                <w:sz w:val="18"/>
              </w:rPr>
              <w:t>Linux launcher script with environment setup and executable path resolution.</w:t>
            </w:r>
          </w:p>
        </w:tc>
        <w:tc>
          <w:tcPr>
            <w:tcW w:type="dxa" w:w="2412"/>
            <w:tcMar>
              <w:top w:w="120" w:type="dxa"/>
              <w:bottom w:w="120" w:type="dxa"/>
              <w:left w:w="140" w:type="dxa"/>
              <w:right w:w="14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color w:val="1E293B"/>
                <w:sz w:val="18"/>
              </w:rPr>
              <w:t>dist/AcadsCatchUp-Linux/Launch_AcadsCatchUp.sh</w:t>
            </w:r>
          </w:p>
        </w:tc>
      </w:tr>
      <w:tr>
        <w:tc>
          <w:tcPr>
            <w:tcW w:type="dxa" w:w="2412"/>
            <w:tcMar>
              <w:top w:w="120" w:type="dxa"/>
              <w:bottom w:w="12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color w:val="1E293B"/>
                <w:sz w:val="18"/>
              </w:rPr>
            </w:r>
            <w:r>
              <w:rPr>
                <w:b/>
                <w:color w:val="1E293B"/>
                <w:sz w:val="18"/>
              </w:rPr>
              <w:t>`.vbs`</w:t>
            </w:r>
            <w:r>
              <w:rPr>
                <w:color w:val="1E293B"/>
                <w:sz w:val="18"/>
              </w:rPr>
            </w:r>
          </w:p>
        </w:tc>
        <w:tc>
          <w:tcPr>
            <w:tcW w:type="dxa" w:w="2412"/>
            <w:tcMar>
              <w:top w:w="120" w:type="dxa"/>
              <w:bottom w:w="12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color w:val="1E293B"/>
                <w:sz w:val="18"/>
              </w:rPr>
              <w:t>VBScript</w:t>
            </w:r>
          </w:p>
        </w:tc>
        <w:tc>
          <w:tcPr>
            <w:tcW w:type="dxa" w:w="2412"/>
            <w:tcMar>
              <w:top w:w="120" w:type="dxa"/>
              <w:bottom w:w="12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color w:val="1E293B"/>
                <w:sz w:val="18"/>
              </w:rPr>
              <w:t>Silent launcher invoking batch files without popping open a Windows command prompt.</w:t>
            </w:r>
          </w:p>
        </w:tc>
        <w:tc>
          <w:tcPr>
            <w:tcW w:type="dxa" w:w="2412"/>
            <w:tcMar>
              <w:top w:w="120" w:type="dxa"/>
              <w:bottom w:w="12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color w:val="1E293B"/>
                <w:sz w:val="18"/>
              </w:rPr>
              <w:t>dist/AcadsCatchUp-Portable/Launch_AcadsCatchUp.vbs</w:t>
            </w:r>
          </w:p>
        </w:tc>
      </w:tr>
      <w:tr>
        <w:tc>
          <w:tcPr>
            <w:tcW w:type="dxa" w:w="2412"/>
            <w:tcMar>
              <w:top w:w="120" w:type="dxa"/>
              <w:bottom w:w="120" w:type="dxa"/>
              <w:left w:w="140" w:type="dxa"/>
              <w:right w:w="14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color w:val="1E293B"/>
                <w:sz w:val="18"/>
              </w:rPr>
            </w:r>
            <w:r>
              <w:rPr>
                <w:b/>
                <w:color w:val="1E293B"/>
                <w:sz w:val="18"/>
              </w:rPr>
              <w:t>`.png`</w:t>
            </w:r>
            <w:r>
              <w:rPr>
                <w:color w:val="1E293B"/>
                <w:sz w:val="18"/>
              </w:rPr>
            </w:r>
          </w:p>
        </w:tc>
        <w:tc>
          <w:tcPr>
            <w:tcW w:type="dxa" w:w="2412"/>
            <w:tcMar>
              <w:top w:w="120" w:type="dxa"/>
              <w:bottom w:w="120" w:type="dxa"/>
              <w:left w:w="140" w:type="dxa"/>
              <w:right w:w="14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color w:val="1E293B"/>
                <w:sz w:val="18"/>
              </w:rPr>
              <w:t>Image Asset</w:t>
            </w:r>
          </w:p>
        </w:tc>
        <w:tc>
          <w:tcPr>
            <w:tcW w:type="dxa" w:w="2412"/>
            <w:tcMar>
              <w:top w:w="120" w:type="dxa"/>
              <w:bottom w:w="120" w:type="dxa"/>
              <w:left w:w="140" w:type="dxa"/>
              <w:right w:w="14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color w:val="1E293B"/>
                <w:sz w:val="18"/>
              </w:rPr>
              <w:t>Branding images, blue book icons, and application logos.</w:t>
            </w:r>
          </w:p>
        </w:tc>
        <w:tc>
          <w:tcPr>
            <w:tcW w:type="dxa" w:w="2412"/>
            <w:tcMar>
              <w:top w:w="120" w:type="dxa"/>
              <w:bottom w:w="120" w:type="dxa"/>
              <w:left w:w="140" w:type="dxa"/>
              <w:right w:w="14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color w:val="1E293B"/>
                <w:sz w:val="18"/>
              </w:rPr>
              <w:t>book_icon_blue.png`, `Acads_Catch_UPp-removebg-preview.png</w:t>
            </w:r>
          </w:p>
        </w:tc>
      </w:tr>
      <w:tr>
        <w:tc>
          <w:tcPr>
            <w:tcW w:type="dxa" w:w="2412"/>
            <w:tcMar>
              <w:top w:w="120" w:type="dxa"/>
              <w:bottom w:w="12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color w:val="1E293B"/>
                <w:sz w:val="18"/>
              </w:rPr>
            </w:r>
            <w:r>
              <w:rPr>
                <w:b/>
                <w:color w:val="1E293B"/>
                <w:sz w:val="18"/>
              </w:rPr>
              <w:t>`.jpg`</w:t>
            </w:r>
            <w:r>
              <w:rPr>
                <w:color w:val="1E293B"/>
                <w:sz w:val="18"/>
              </w:rPr>
            </w:r>
          </w:p>
        </w:tc>
        <w:tc>
          <w:tcPr>
            <w:tcW w:type="dxa" w:w="2412"/>
            <w:tcMar>
              <w:top w:w="120" w:type="dxa"/>
              <w:bottom w:w="12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color w:val="1E293B"/>
                <w:sz w:val="18"/>
              </w:rPr>
              <w:t>Image Asset</w:t>
            </w:r>
          </w:p>
        </w:tc>
        <w:tc>
          <w:tcPr>
            <w:tcW w:type="dxa" w:w="2412"/>
            <w:tcMar>
              <w:top w:w="120" w:type="dxa"/>
              <w:bottom w:w="12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color w:val="1E293B"/>
                <w:sz w:val="18"/>
              </w:rPr>
              <w:t>High-resolution background and institutional banner imagery.</w:t>
            </w:r>
          </w:p>
        </w:tc>
        <w:tc>
          <w:tcPr>
            <w:tcW w:type="dxa" w:w="2412"/>
            <w:tcMar>
              <w:top w:w="120" w:type="dxa"/>
              <w:bottom w:w="12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color w:val="1E293B"/>
                <w:sz w:val="18"/>
              </w:rPr>
              <w:t>src/main/resources/com/acadscatchup/img/ollc.jpg</w:t>
            </w:r>
          </w:p>
        </w:tc>
      </w:tr>
      <w:tr>
        <w:tc>
          <w:tcPr>
            <w:tcW w:type="dxa" w:w="2412"/>
            <w:tcMar>
              <w:top w:w="120" w:type="dxa"/>
              <w:bottom w:w="120" w:type="dxa"/>
              <w:left w:w="140" w:type="dxa"/>
              <w:right w:w="14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color w:val="1E293B"/>
                <w:sz w:val="18"/>
              </w:rPr>
            </w:r>
            <w:r>
              <w:rPr>
                <w:b/>
                <w:color w:val="1E293B"/>
                <w:sz w:val="18"/>
              </w:rPr>
              <w:t>`.ico`</w:t>
            </w:r>
            <w:r>
              <w:rPr>
                <w:color w:val="1E293B"/>
                <w:sz w:val="18"/>
              </w:rPr>
            </w:r>
          </w:p>
        </w:tc>
        <w:tc>
          <w:tcPr>
            <w:tcW w:type="dxa" w:w="2412"/>
            <w:tcMar>
              <w:top w:w="120" w:type="dxa"/>
              <w:bottom w:w="120" w:type="dxa"/>
              <w:left w:w="140" w:type="dxa"/>
              <w:right w:w="14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color w:val="1E293B"/>
                <w:sz w:val="18"/>
              </w:rPr>
              <w:t>Icon File</w:t>
            </w:r>
          </w:p>
        </w:tc>
        <w:tc>
          <w:tcPr>
            <w:tcW w:type="dxa" w:w="2412"/>
            <w:tcMar>
              <w:top w:w="120" w:type="dxa"/>
              <w:bottom w:w="120" w:type="dxa"/>
              <w:left w:w="140" w:type="dxa"/>
              <w:right w:w="14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color w:val="1E293B"/>
                <w:sz w:val="18"/>
              </w:rPr>
              <w:t>Multi-resolution Windows application icon embedded in `.exe` files and taskbars.</w:t>
            </w:r>
          </w:p>
        </w:tc>
        <w:tc>
          <w:tcPr>
            <w:tcW w:type="dxa" w:w="2412"/>
            <w:tcMar>
              <w:top w:w="120" w:type="dxa"/>
              <w:bottom w:w="120" w:type="dxa"/>
              <w:left w:w="140" w:type="dxa"/>
              <w:right w:w="14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color w:val="1E293B"/>
                <w:sz w:val="18"/>
              </w:rPr>
              <w:t>dist/app_icon.ico</w:t>
            </w:r>
          </w:p>
        </w:tc>
      </w:tr>
      <w:tr>
        <w:tc>
          <w:tcPr>
            <w:tcW w:type="dxa" w:w="2412"/>
            <w:tcMar>
              <w:top w:w="120" w:type="dxa"/>
              <w:bottom w:w="12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color w:val="1E293B"/>
                <w:sz w:val="18"/>
              </w:rPr>
            </w:r>
            <w:r>
              <w:rPr>
                <w:b/>
                <w:color w:val="1E293B"/>
                <w:sz w:val="18"/>
              </w:rPr>
              <w:t>`.jar`</w:t>
            </w:r>
            <w:r>
              <w:rPr>
                <w:color w:val="1E293B"/>
                <w:sz w:val="18"/>
              </w:rPr>
            </w:r>
          </w:p>
        </w:tc>
        <w:tc>
          <w:tcPr>
            <w:tcW w:type="dxa" w:w="2412"/>
            <w:tcMar>
              <w:top w:w="120" w:type="dxa"/>
              <w:bottom w:w="12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color w:val="1E293B"/>
                <w:sz w:val="18"/>
              </w:rPr>
              <w:t>Executable Archive</w:t>
            </w:r>
          </w:p>
        </w:tc>
        <w:tc>
          <w:tcPr>
            <w:tcW w:type="dxa" w:w="2412"/>
            <w:tcMar>
              <w:top w:w="120" w:type="dxa"/>
              <w:bottom w:w="12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color w:val="1E293B"/>
                <w:sz w:val="18"/>
              </w:rPr>
              <w:t>Runnable Java archives containing compiled classes and bundled libraries.</w:t>
            </w:r>
          </w:p>
        </w:tc>
        <w:tc>
          <w:tcPr>
            <w:tcW w:type="dxa" w:w="2412"/>
            <w:tcMar>
              <w:top w:w="120" w:type="dxa"/>
              <w:bottom w:w="12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color w:val="1E293B"/>
                <w:sz w:val="18"/>
              </w:rPr>
              <w:t>dist/AcadsCatchUp.jar`, `AcadsCatchUp-Setup.jar</w:t>
            </w:r>
          </w:p>
        </w:tc>
      </w:tr>
      <w:tr>
        <w:tc>
          <w:tcPr>
            <w:tcW w:type="dxa" w:w="2412"/>
            <w:tcMar>
              <w:top w:w="120" w:type="dxa"/>
              <w:bottom w:w="120" w:type="dxa"/>
              <w:left w:w="140" w:type="dxa"/>
              <w:right w:w="14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color w:val="1E293B"/>
                <w:sz w:val="18"/>
              </w:rPr>
            </w:r>
            <w:r>
              <w:rPr>
                <w:b/>
                <w:color w:val="1E293B"/>
                <w:sz w:val="18"/>
              </w:rPr>
              <w:t>`.zip`</w:t>
            </w:r>
            <w:r>
              <w:rPr>
                <w:color w:val="1E293B"/>
                <w:sz w:val="18"/>
              </w:rPr>
            </w:r>
          </w:p>
        </w:tc>
        <w:tc>
          <w:tcPr>
            <w:tcW w:type="dxa" w:w="2412"/>
            <w:tcMar>
              <w:top w:w="120" w:type="dxa"/>
              <w:bottom w:w="120" w:type="dxa"/>
              <w:left w:w="140" w:type="dxa"/>
              <w:right w:w="14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color w:val="1E293B"/>
                <w:sz w:val="18"/>
              </w:rPr>
              <w:t>Archive</w:t>
            </w:r>
          </w:p>
        </w:tc>
        <w:tc>
          <w:tcPr>
            <w:tcW w:type="dxa" w:w="2412"/>
            <w:tcMar>
              <w:top w:w="120" w:type="dxa"/>
              <w:bottom w:w="120" w:type="dxa"/>
              <w:left w:w="140" w:type="dxa"/>
              <w:right w:w="14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color w:val="1E293B"/>
                <w:sz w:val="18"/>
              </w:rPr>
              <w:t>Portable distribution bundles for Windows and Linux users.</w:t>
            </w:r>
          </w:p>
        </w:tc>
        <w:tc>
          <w:tcPr>
            <w:tcW w:type="dxa" w:w="2412"/>
            <w:tcMar>
              <w:top w:w="120" w:type="dxa"/>
              <w:bottom w:w="120" w:type="dxa"/>
              <w:left w:w="140" w:type="dxa"/>
              <w:right w:w="14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color w:val="1E293B"/>
                <w:sz w:val="18"/>
              </w:rPr>
              <w:t>dist/AcadsCatchUp-v1.0.zip`, `dist/AcadsCatchUp-Linux.zip</w:t>
            </w:r>
          </w:p>
        </w:tc>
      </w:tr>
      <w:tr>
        <w:tc>
          <w:tcPr>
            <w:tcW w:type="dxa" w:w="2412"/>
            <w:tcMar>
              <w:top w:w="120" w:type="dxa"/>
              <w:bottom w:w="12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color w:val="1E293B"/>
                <w:sz w:val="18"/>
              </w:rPr>
            </w:r>
            <w:r>
              <w:rPr>
                <w:b/>
                <w:color w:val="1E293B"/>
                <w:sz w:val="18"/>
              </w:rPr>
              <w:t>`.tar.gz`</w:t>
            </w:r>
            <w:r>
              <w:rPr>
                <w:color w:val="1E293B"/>
                <w:sz w:val="18"/>
              </w:rPr>
            </w:r>
          </w:p>
        </w:tc>
        <w:tc>
          <w:tcPr>
            <w:tcW w:type="dxa" w:w="2412"/>
            <w:tcMar>
              <w:top w:w="120" w:type="dxa"/>
              <w:bottom w:w="12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color w:val="1E293B"/>
                <w:sz w:val="18"/>
              </w:rPr>
              <w:t>Unix Archive</w:t>
            </w:r>
          </w:p>
        </w:tc>
        <w:tc>
          <w:tcPr>
            <w:tcW w:type="dxa" w:w="2412"/>
            <w:tcMar>
              <w:top w:w="120" w:type="dxa"/>
              <w:bottom w:w="12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color w:val="1E293B"/>
                <w:sz w:val="18"/>
              </w:rPr>
              <w:t>Standard gzipped tar archive for Unix/Linux distribution.</w:t>
            </w:r>
          </w:p>
        </w:tc>
        <w:tc>
          <w:tcPr>
            <w:tcW w:type="dxa" w:w="2412"/>
            <w:tcMar>
              <w:top w:w="120" w:type="dxa"/>
              <w:bottom w:w="12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color w:val="1E293B"/>
                <w:sz w:val="18"/>
              </w:rPr>
              <w:t>dist/AcadsCatchUp-Linux.tar.gz</w:t>
            </w:r>
          </w:p>
        </w:tc>
      </w:tr>
      <w:tr>
        <w:tc>
          <w:tcPr>
            <w:tcW w:type="dxa" w:w="2412"/>
            <w:tcMar>
              <w:top w:w="120" w:type="dxa"/>
              <w:bottom w:w="120" w:type="dxa"/>
              <w:left w:w="140" w:type="dxa"/>
              <w:right w:w="14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color w:val="1E293B"/>
                <w:sz w:val="18"/>
              </w:rPr>
            </w:r>
            <w:r>
              <w:rPr>
                <w:b/>
                <w:color w:val="1E293B"/>
                <w:sz w:val="18"/>
              </w:rPr>
              <w:t>`.txt`</w:t>
            </w:r>
            <w:r>
              <w:rPr>
                <w:color w:val="1E293B"/>
                <w:sz w:val="18"/>
              </w:rPr>
            </w:r>
          </w:p>
        </w:tc>
        <w:tc>
          <w:tcPr>
            <w:tcW w:type="dxa" w:w="2412"/>
            <w:tcMar>
              <w:top w:w="120" w:type="dxa"/>
              <w:bottom w:w="120" w:type="dxa"/>
              <w:left w:w="140" w:type="dxa"/>
              <w:right w:w="14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color w:val="1E293B"/>
                <w:sz w:val="18"/>
              </w:rPr>
              <w:t>Text Document</w:t>
            </w:r>
          </w:p>
        </w:tc>
        <w:tc>
          <w:tcPr>
            <w:tcW w:type="dxa" w:w="2412"/>
            <w:tcMar>
              <w:top w:w="120" w:type="dxa"/>
              <w:bottom w:w="120" w:type="dxa"/>
              <w:left w:w="140" w:type="dxa"/>
              <w:right w:w="14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color w:val="1E293B"/>
                <w:sz w:val="18"/>
              </w:rPr>
              <w:t>System summaries, compiler inputs, and end-user setup documentation.</w:t>
            </w:r>
          </w:p>
        </w:tc>
        <w:tc>
          <w:tcPr>
            <w:tcW w:type="dxa" w:w="2412"/>
            <w:tcMar>
              <w:top w:w="120" w:type="dxa"/>
              <w:bottom w:w="120" w:type="dxa"/>
              <w:left w:w="140" w:type="dxa"/>
              <w:right w:w="14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color w:val="1E293B"/>
                <w:sz w:val="18"/>
              </w:rPr>
              <w:t>PROJECT_SUMMARY.txt`, `HOW_TO_RUN.txt`, `HOW_TO_RUN_LINUX.txt</w:t>
            </w:r>
          </w:p>
        </w:tc>
      </w:tr>
      <w:tr>
        <w:tc>
          <w:tcPr>
            <w:tcW w:type="dxa" w:w="2412"/>
            <w:tcMar>
              <w:top w:w="120" w:type="dxa"/>
              <w:bottom w:w="12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color w:val="1E293B"/>
                <w:sz w:val="18"/>
              </w:rPr>
            </w:r>
            <w:r>
              <w:rPr>
                <w:b/>
                <w:color w:val="1E293B"/>
                <w:sz w:val="18"/>
              </w:rPr>
              <w:t>`.md`</w:t>
            </w:r>
            <w:r>
              <w:rPr>
                <w:color w:val="1E293B"/>
                <w:sz w:val="18"/>
              </w:rPr>
            </w:r>
          </w:p>
        </w:tc>
        <w:tc>
          <w:tcPr>
            <w:tcW w:type="dxa" w:w="2412"/>
            <w:tcMar>
              <w:top w:w="120" w:type="dxa"/>
              <w:bottom w:w="12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color w:val="1E293B"/>
                <w:sz w:val="18"/>
              </w:rPr>
              <w:t>Markdown Document</w:t>
            </w:r>
          </w:p>
        </w:tc>
        <w:tc>
          <w:tcPr>
            <w:tcW w:type="dxa" w:w="2412"/>
            <w:tcMar>
              <w:top w:w="120" w:type="dxa"/>
              <w:bottom w:w="12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color w:val="1E293B"/>
                <w:sz w:val="18"/>
              </w:rPr>
              <w:t>Documentation and algorithmic specifications.</w:t>
            </w:r>
          </w:p>
        </w:tc>
        <w:tc>
          <w:tcPr>
            <w:tcW w:type="dxa" w:w="2412"/>
            <w:tcMar>
              <w:top w:w="120" w:type="dxa"/>
              <w:bottom w:w="12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color w:val="1E293B"/>
                <w:sz w:val="18"/>
              </w:rPr>
              <w:t>README.md`, `TEMP_ACADSCATCHUP_ALGORITHM.md</w:t>
            </w:r>
          </w:p>
        </w:tc>
      </w:tr>
      <w:tr>
        <w:tc>
          <w:tcPr>
            <w:tcW w:type="dxa" w:w="2412"/>
            <w:tcMar>
              <w:top w:w="120" w:type="dxa"/>
              <w:bottom w:w="120" w:type="dxa"/>
              <w:left w:w="140" w:type="dxa"/>
              <w:right w:w="14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color w:val="1E293B"/>
                <w:sz w:val="18"/>
              </w:rPr>
            </w:r>
            <w:r>
              <w:rPr>
                <w:b/>
                <w:color w:val="1E293B"/>
                <w:sz w:val="18"/>
              </w:rPr>
              <w:t>`.yml`</w:t>
            </w:r>
            <w:r>
              <w:rPr>
                <w:color w:val="1E293B"/>
                <w:sz w:val="18"/>
              </w:rPr>
            </w:r>
          </w:p>
        </w:tc>
        <w:tc>
          <w:tcPr>
            <w:tcW w:type="dxa" w:w="2412"/>
            <w:tcMar>
              <w:top w:w="120" w:type="dxa"/>
              <w:bottom w:w="120" w:type="dxa"/>
              <w:left w:w="140" w:type="dxa"/>
              <w:right w:w="14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color w:val="1E293B"/>
                <w:sz w:val="18"/>
              </w:rPr>
              <w:t>CI/CD Workflow</w:t>
            </w:r>
          </w:p>
        </w:tc>
        <w:tc>
          <w:tcPr>
            <w:tcW w:type="dxa" w:w="2412"/>
            <w:tcMar>
              <w:top w:w="120" w:type="dxa"/>
              <w:bottom w:w="120" w:type="dxa"/>
              <w:left w:w="140" w:type="dxa"/>
              <w:right w:w="14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color w:val="1E293B"/>
                <w:sz w:val="18"/>
              </w:rPr>
              <w:t>GitHub Actions workflow definitions for continuous integration and automated releases.</w:t>
            </w:r>
          </w:p>
        </w:tc>
        <w:tc>
          <w:tcPr>
            <w:tcW w:type="dxa" w:w="2412"/>
            <w:tcMar>
              <w:top w:w="120" w:type="dxa"/>
              <w:bottom w:w="120" w:type="dxa"/>
              <w:left w:w="140" w:type="dxa"/>
              <w:right w:w="14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color w:val="1E293B"/>
                <w:sz w:val="18"/>
              </w:rPr>
              <w:t>.github/workflows/ci.yml`, `.github/workflows/release.yml</w:t>
            </w:r>
          </w:p>
        </w:tc>
      </w:tr>
    </w:tbl>
    <w:p>
      <w:pPr>
        <w:spacing w:after="120"/>
      </w:pPr>
    </w:p>
    <w:p>
      <w:pPr>
        <w:keepNext/>
        <w:spacing w:before="280" w:after="100"/>
      </w:pPr>
      <w:r>
        <w:rPr>
          <w:rFonts w:ascii="Arial" w:hAnsi="Arial"/>
          <w:b/>
          <w:color w:val="1E3A8A"/>
          <w:sz w:val="28"/>
        </w:rPr>
        <w:t>4. Cloud Hostings, Backend Services &amp; Infrastructure</w:t>
      </w:r>
    </w:p>
    <w:p>
      <w:pPr>
        <w:spacing w:before="60" w:after="80" w:line="276" w:lineRule="auto"/>
      </w:pPr>
      <w:r>
        <w:rPr>
          <w:sz w:val="20"/>
        </w:rPr>
        <w:t>AcadsCatchUp uses cloud infrastructure for persistence, messaging, update distribution, and continuous deployment:</w:t>
      </w:r>
    </w:p>
    <w:tbl>
      <w:tblPr>
        <w:tblW w:type="auto" w:w="0"/>
        <w:jc w:val="center"/>
        <w:tblLook w:firstColumn="1" w:firstRow="1" w:lastColumn="0" w:lastRow="0" w:noHBand="0" w:noVBand="1" w:val="04A0"/>
      </w:tblPr>
      <w:tblGrid>
        <w:gridCol w:w="9648"/>
      </w:tblGrid>
      <w:tr>
        <w:tc>
          <w:tcPr>
            <w:tcW w:type="dxa" w:w="9360"/>
            <w:shd w:fill="0F172A"/>
            <w:tcMar>
              <w:top w:w="120" w:type="dxa"/>
              <w:bottom w:w="120" w:type="dxa"/>
              <w:left w:w="180" w:type="dxa"/>
              <w:right w:w="180" w:type="dxa"/>
            </w:tcMar>
            <w:tcBorders>
              <w:top w:val="single" w:sz="8" w:space="0" w:color="334155"/>
              <w:left w:val="single" w:sz="8" w:space="0" w:color="334155"/>
              <w:bottom w:val="single" w:sz="8" w:space="0" w:color="334155"/>
              <w:right w:val="single" w:sz="8" w:space="0" w:color="334155"/>
            </w:tcBorders>
          </w:tcPr>
          <w:p>
            <w:pPr>
              <w:spacing w:before="40" w:after="40" w:line="252" w:lineRule="auto"/>
            </w:pPr>
            <w:r>
              <w:rPr>
                <w:rFonts w:ascii="Consolas" w:hAnsi="Consolas"/>
                <w:color w:val="E2E8F0"/>
                <w:sz w:val="17"/>
              </w:rPr>
              <w:t>┌────────────────────────────────────────────────────────────────────────┐</w:t>
              <w:br/>
              <w:t>│                        ACADSCATCHUP CLOUD ECOSYSTEM                    │</w:t>
              <w:br/>
              <w:t>└────────────────────────────────────────────────────────────────────────┘</w:t>
              <w:br/>
              <w:br/>
              <w:t xml:space="preserve"> [Central Database Cluster]              [Email &amp; Auth Relay]</w:t>
              <w:br/>
              <w:t xml:space="preserve">  TiDB Cloud Serverless (PingCAP)         Brevo SMTP Relay &amp; Gmail SSL</w:t>
              <w:br/>
              <w:t xml:space="preserve">  AWS ap-southeast-1 (Singapore)          Port 587 (STARTTLS) / Port 465</w:t>
              <w:br/>
              <w:t xml:space="preserve">  gateway01.ap-southeast-1.prod           smtp-relay.brevo.com</w:t>
              <w:br/>
              <w:t xml:space="preserve">  .aws.tidbcloud.com:4000</w:t>
              <w:br/>
              <w:t xml:space="preserve">             ▲                                       ▲</w:t>
              <w:br/>
              <w:t xml:space="preserve">             │                                       │</w:t>
              <w:br/>
              <w:t xml:space="preserve">             │                   Direct              │</w:t>
              <w:br/>
              <w:t xml:space="preserve">             └─────────────┐   TLS/SSL   ┌───────────┘</w:t>
              <w:br/>
              <w:t xml:space="preserve">                           │   Sockets   │</w:t>
              <w:br/>
              <w:t xml:space="preserve">                           │             │</w:t>
              <w:br/>
              <w:t xml:space="preserve">                    ┌──────┴─────────────┴──────┐</w:t>
              <w:br/>
              <w:t xml:space="preserve">                    │    AcadsCatchUp Client    │</w:t>
              <w:br/>
              <w:t xml:space="preserve">                    │   (Java 21 Desktop App)   │</w:t>
              <w:br/>
              <w:t xml:space="preserve">                    └──────┬─────────────┬──────┘</w:t>
              <w:br/>
              <w:t xml:space="preserve">                           │             │</w:t>
              <w:br/>
              <w:t xml:space="preserve">             ┌─────────────┘   HTTPS     └───────────┐</w:t>
              <w:br/>
              <w:t xml:space="preserve">             │                 REST                  │</w:t>
              <w:br/>
              <w:t xml:space="preserve">             ▼                                       ▼</w:t>
              <w:br/>
              <w:t xml:space="preserve"> [Version &amp; Updates CDN]                 [Mailbox Reputation API]</w:t>
              <w:br/>
              <w:t xml:space="preserve">  GitHub Raw &amp; GitHub Releases            AbstractAPI Email Reputation</w:t>
              <w:br/>
              <w:t xml:space="preserve">  raw.githubusercontent.com               api.abstractapi.com</w:t>
              <w:br/>
              <w:t xml:space="preserve">  /ZEKESAMP/AcadsCatchUp                  (5-Key Round-Robin Pool)</w:t>
            </w:r>
          </w:p>
        </w:tc>
      </w:tr>
    </w:tbl>
    <w:p>
      <w:pPr>
        <w:spacing w:after="120"/>
      </w:pPr>
    </w:p>
    <w:p>
      <w:pPr>
        <w:keepNext/>
        <w:spacing w:before="200" w:after="80"/>
      </w:pPr>
      <w:r>
        <w:rPr>
          <w:rFonts w:ascii="Arial" w:hAnsi="Arial"/>
          <w:b/>
          <w:color w:val="475569"/>
          <w:sz w:val="24"/>
        </w:rPr>
        <w:t>4.1 Database Cloud Hosting: TiDB Cloud Serverless (PingCAP)</w:t>
      </w:r>
    </w:p>
    <w:p>
      <w:pPr>
        <w:pStyle w:val="ListBullet"/>
        <w:spacing w:before="20" w:after="40" w:line="276" w:lineRule="auto"/>
      </w:pPr>
      <w:r>
        <w:rPr>
          <w:sz w:val="20"/>
        </w:rPr>
      </w:r>
      <w:r>
        <w:rPr>
          <w:b/>
          <w:sz w:val="20"/>
        </w:rPr>
        <w:t>Service Type:</w:t>
      </w:r>
      <w:r>
        <w:rPr>
          <w:sz w:val="20"/>
        </w:rPr>
        <w:t xml:space="preserve"> Distributed SQL (MySQL 8.0 wire-compatible) Cloud Database.</w:t>
      </w:r>
    </w:p>
    <w:p>
      <w:pPr>
        <w:pStyle w:val="ListBullet"/>
        <w:spacing w:before="20" w:after="40" w:line="276" w:lineRule="auto"/>
      </w:pPr>
      <w:r>
        <w:rPr>
          <w:sz w:val="20"/>
        </w:rPr>
      </w:r>
      <w:r>
        <w:rPr>
          <w:b/>
          <w:sz w:val="20"/>
        </w:rPr>
        <w:t>Provider:</w:t>
      </w:r>
      <w:r>
        <w:rPr>
          <w:sz w:val="20"/>
        </w:rPr>
        <w:t xml:space="preserve"> PingCAP TiDB Cloud Serverless.</w:t>
      </w:r>
    </w:p>
    <w:p>
      <w:pPr>
        <w:pStyle w:val="ListBullet"/>
        <w:spacing w:before="20" w:after="40" w:line="276" w:lineRule="auto"/>
      </w:pPr>
      <w:r>
        <w:rPr>
          <w:sz w:val="20"/>
        </w:rPr>
      </w:r>
      <w:r>
        <w:rPr>
          <w:b/>
          <w:sz w:val="20"/>
        </w:rPr>
        <w:t>Underlying Cloud Host:</w:t>
      </w:r>
      <w:r>
        <w:rPr>
          <w:sz w:val="20"/>
        </w:rPr>
        <w:t xml:space="preserve"> Amazon Web Services (AWS).</w:t>
      </w:r>
    </w:p>
    <w:p>
      <w:pPr>
        <w:pStyle w:val="ListBullet"/>
        <w:spacing w:before="20" w:after="40" w:line="276" w:lineRule="auto"/>
      </w:pPr>
      <w:r>
        <w:rPr>
          <w:sz w:val="20"/>
        </w:rPr>
      </w:r>
      <w:r>
        <w:rPr>
          <w:b/>
          <w:sz w:val="20"/>
        </w:rPr>
        <w:t>Hosting Region:</w:t>
      </w:r>
      <w:r>
        <w:rPr>
          <w:sz w:val="20"/>
        </w:rPr>
        <w:t xml:space="preserve"> Asia Pacific — Singapore (</w:t>
      </w:r>
      <w:r>
        <w:rPr>
          <w:rFonts w:ascii="Consolas" w:hAnsi="Consolas"/>
          <w:sz w:val="20"/>
        </w:rPr>
        <w:t>ap-southeast-1</w:t>
      </w:r>
      <w:r>
        <w:rPr>
          <w:sz w:val="20"/>
        </w:rPr>
        <w:t>).</w:t>
      </w:r>
    </w:p>
    <w:p>
      <w:pPr>
        <w:pStyle w:val="ListBullet"/>
        <w:spacing w:before="20" w:after="40" w:line="276" w:lineRule="auto"/>
      </w:pPr>
      <w:r>
        <w:rPr>
          <w:sz w:val="20"/>
        </w:rPr>
      </w:r>
      <w:r>
        <w:rPr>
          <w:b/>
          <w:sz w:val="20"/>
        </w:rPr>
        <w:t>Endpoint Host:</w:t>
      </w:r>
      <w:r>
        <w:rPr>
          <w:sz w:val="20"/>
        </w:rPr>
        <w:t xml:space="preserve"> </w:t>
      </w:r>
      <w:r>
        <w:rPr>
          <w:rFonts w:ascii="Consolas" w:hAnsi="Consolas"/>
          <w:sz w:val="20"/>
        </w:rPr>
        <w:t>gateway01.ap-southeast-1.prod.aws.tidbcloud.com</w:t>
      </w:r>
      <w:r>
        <w:rPr>
          <w:sz w:val="20"/>
        </w:rPr>
      </w:r>
    </w:p>
    <w:p>
      <w:pPr>
        <w:pStyle w:val="ListBullet"/>
        <w:spacing w:before="20" w:after="40" w:line="276" w:lineRule="auto"/>
      </w:pPr>
      <w:r>
        <w:rPr>
          <w:sz w:val="20"/>
        </w:rPr>
      </w:r>
      <w:r>
        <w:rPr>
          <w:b/>
          <w:sz w:val="20"/>
        </w:rPr>
        <w:t>Connection Port:</w:t>
      </w:r>
      <w:r>
        <w:rPr>
          <w:sz w:val="20"/>
        </w:rPr>
        <w:t xml:space="preserve"> </w:t>
      </w:r>
      <w:r>
        <w:rPr>
          <w:rFonts w:ascii="Consolas" w:hAnsi="Consolas"/>
          <w:sz w:val="20"/>
        </w:rPr>
        <w:t>4000</w:t>
      </w:r>
      <w:r>
        <w:rPr>
          <w:sz w:val="20"/>
        </w:rPr>
        <w:t xml:space="preserve"> (Standard TiDB Cloud MySQL port).</w:t>
      </w:r>
    </w:p>
    <w:p>
      <w:pPr>
        <w:pStyle w:val="ListBullet"/>
        <w:spacing w:before="20" w:after="40" w:line="276" w:lineRule="auto"/>
      </w:pPr>
      <w:r>
        <w:rPr>
          <w:sz w:val="20"/>
        </w:rPr>
      </w:r>
      <w:r>
        <w:rPr>
          <w:b/>
          <w:sz w:val="20"/>
        </w:rPr>
        <w:t>Database Name:</w:t>
      </w:r>
      <w:r>
        <w:rPr>
          <w:sz w:val="20"/>
        </w:rPr>
        <w:t xml:space="preserve"> </w:t>
      </w:r>
      <w:r>
        <w:rPr>
          <w:rFonts w:ascii="Consolas" w:hAnsi="Consolas"/>
          <w:sz w:val="20"/>
        </w:rPr>
        <w:t>acadscatchup</w:t>
      </w:r>
      <w:r>
        <w:rPr>
          <w:sz w:val="20"/>
        </w:rPr>
      </w:r>
    </w:p>
    <w:p>
      <w:pPr>
        <w:pStyle w:val="ListBullet"/>
        <w:spacing w:before="20" w:after="40" w:line="276" w:lineRule="auto"/>
      </w:pPr>
      <w:r>
        <w:rPr>
          <w:sz w:val="20"/>
        </w:rPr>
      </w:r>
      <w:r>
        <w:rPr>
          <w:b/>
          <w:sz w:val="20"/>
        </w:rPr>
        <w:t>Transport Security:</w:t>
      </w:r>
      <w:r>
        <w:rPr>
          <w:sz w:val="20"/>
        </w:rPr>
        <w:t xml:space="preserve"> Mandatory TLS/SSL encryption with </w:t>
      </w:r>
      <w:r>
        <w:rPr>
          <w:rFonts w:ascii="Consolas" w:hAnsi="Consolas"/>
          <w:sz w:val="20"/>
        </w:rPr>
        <w:t>allowPublicKeyRetrieval=true</w:t>
      </w:r>
      <w:r>
        <w:rPr>
          <w:sz w:val="20"/>
        </w:rPr>
        <w:t xml:space="preserve"> and </w:t>
      </w:r>
      <w:r>
        <w:rPr>
          <w:rFonts w:ascii="Consolas" w:hAnsi="Consolas"/>
          <w:sz w:val="20"/>
        </w:rPr>
        <w:t>serverTimezone=UTC</w:t>
      </w:r>
      <w:r>
        <w:rPr>
          <w:sz w:val="20"/>
        </w:rPr>
        <w:t>.</w:t>
      </w:r>
    </w:p>
    <w:p>
      <w:pPr>
        <w:pStyle w:val="ListBullet"/>
        <w:spacing w:before="20" w:after="40" w:line="276" w:lineRule="auto"/>
      </w:pPr>
      <w:r>
        <w:rPr>
          <w:sz w:val="20"/>
        </w:rPr>
      </w:r>
      <w:r>
        <w:rPr>
          <w:b/>
          <w:sz w:val="20"/>
        </w:rPr>
        <w:t>High Availability &amp; Sync:</w:t>
      </w:r>
      <w:r>
        <w:rPr>
          <w:sz w:val="20"/>
        </w:rPr>
        <w:t xml:space="preserve"> Cloud architecture enables concurrent live syncing across students and faculty from any network or geographic location.</w:t>
      </w:r>
    </w:p>
    <w:p>
      <w:pPr>
        <w:pStyle w:val="ListBullet"/>
        <w:spacing w:before="20" w:after="40" w:line="276" w:lineRule="auto"/>
      </w:pPr>
      <w:r>
        <w:rPr>
          <w:sz w:val="20"/>
        </w:rPr>
      </w:r>
      <w:r>
        <w:rPr>
          <w:b/>
          <w:sz w:val="20"/>
        </w:rPr>
        <w:t>Offline Fallback:</w:t>
      </w:r>
      <w:r>
        <w:rPr>
          <w:sz w:val="20"/>
        </w:rPr>
        <w:t xml:space="preserve"> Local embedded SQLite database (</w:t>
      </w:r>
      <w:r>
        <w:rPr>
          <w:rFonts w:ascii="Consolas" w:hAnsi="Consolas"/>
          <w:sz w:val="20"/>
        </w:rPr>
        <w:t>acadscatchup.db</w:t>
      </w:r>
      <w:r>
        <w:rPr>
          <w:sz w:val="20"/>
        </w:rPr>
        <w:t>) with Write-Ahead Logging (WAL) and foreign key enforcement.</w:t>
      </w:r>
    </w:p>
    <w:p>
      <w:pPr>
        <w:keepNext/>
        <w:spacing w:before="200" w:after="80"/>
      </w:pPr>
      <w:r>
        <w:rPr>
          <w:rFonts w:ascii="Arial" w:hAnsi="Arial"/>
          <w:b/>
          <w:color w:val="475569"/>
          <w:sz w:val="24"/>
        </w:rPr>
        <w:t>4.2 Email Relay &amp; Messaging Hosting</w:t>
      </w:r>
    </w:p>
    <w:p>
      <w:pPr>
        <w:pStyle w:val="ListBullet"/>
        <w:spacing w:before="20" w:after="40" w:line="276" w:lineRule="auto"/>
      </w:pPr>
      <w:r>
        <w:rPr>
          <w:sz w:val="20"/>
        </w:rPr>
      </w:r>
      <w:r>
        <w:rPr>
          <w:b/>
          <w:sz w:val="20"/>
        </w:rPr>
        <w:t>Primary SMTP Relay Provider:</w:t>
      </w:r>
      <w:r>
        <w:rPr>
          <w:sz w:val="20"/>
        </w:rPr>
        <w:t xml:space="preserve"> Brevo (formerly Sendinblue).</w:t>
      </w:r>
    </w:p>
    <w:p>
      <w:pPr>
        <w:spacing w:before="60" w:after="80" w:line="276" w:lineRule="auto"/>
      </w:pPr>
      <w:r>
        <w:rPr>
          <w:sz w:val="20"/>
        </w:rPr>
        <w:t xml:space="preserve">  - Host: </w:t>
      </w:r>
      <w:r>
        <w:rPr>
          <w:rFonts w:ascii="Consolas" w:hAnsi="Consolas"/>
          <w:sz w:val="20"/>
        </w:rPr>
        <w:t>smtp-relay.brevo.com</w:t>
      </w:r>
      <w:r>
        <w:rPr>
          <w:sz w:val="20"/>
        </w:rPr>
      </w:r>
    </w:p>
    <w:p>
      <w:pPr>
        <w:spacing w:before="60" w:after="80" w:line="276" w:lineRule="auto"/>
      </w:pPr>
      <w:r>
        <w:rPr>
          <w:sz w:val="20"/>
        </w:rPr>
        <w:t xml:space="preserve">  - Port: </w:t>
      </w:r>
      <w:r>
        <w:rPr>
          <w:rFonts w:ascii="Consolas" w:hAnsi="Consolas"/>
          <w:sz w:val="20"/>
        </w:rPr>
        <w:t>587</w:t>
      </w:r>
      <w:r>
        <w:rPr>
          <w:sz w:val="20"/>
        </w:rPr>
      </w:r>
    </w:p>
    <w:p>
      <w:pPr>
        <w:spacing w:before="60" w:after="80" w:line="276" w:lineRule="auto"/>
      </w:pPr>
      <w:r>
        <w:rPr>
          <w:sz w:val="20"/>
        </w:rPr>
        <w:t xml:space="preserve">  - Protocol: STARTTLS with TLSv1.3 cryptographic socket upgrade.</w:t>
      </w:r>
    </w:p>
    <w:p>
      <w:pPr>
        <w:spacing w:before="60" w:after="80" w:line="276" w:lineRule="auto"/>
      </w:pPr>
      <w:r>
        <w:rPr>
          <w:sz w:val="20"/>
        </w:rPr>
        <w:t xml:space="preserve">  - Role: Delivers automated 6-digit 2FA login verification codes, password resets, and account activation notices.</w:t>
      </w:r>
    </w:p>
    <w:p>
      <w:pPr>
        <w:pStyle w:val="ListBullet"/>
        <w:spacing w:before="20" w:after="40" w:line="276" w:lineRule="auto"/>
      </w:pPr>
      <w:r>
        <w:rPr>
          <w:sz w:val="20"/>
        </w:rPr>
      </w:r>
      <w:r>
        <w:rPr>
          <w:b/>
          <w:sz w:val="20"/>
        </w:rPr>
        <w:t>Fallback Email Provider:</w:t>
      </w:r>
      <w:r>
        <w:rPr>
          <w:sz w:val="20"/>
        </w:rPr>
        <w:t xml:space="preserve"> Google Gmail SMTP.</w:t>
      </w:r>
    </w:p>
    <w:p>
      <w:pPr>
        <w:spacing w:before="60" w:after="80" w:line="276" w:lineRule="auto"/>
      </w:pPr>
      <w:r>
        <w:rPr>
          <w:sz w:val="20"/>
        </w:rPr>
        <w:t xml:space="preserve">  - Host: </w:t>
      </w:r>
      <w:r>
        <w:rPr>
          <w:rFonts w:ascii="Consolas" w:hAnsi="Consolas"/>
          <w:sz w:val="20"/>
        </w:rPr>
        <w:t>smtp.gmail.com</w:t>
      </w:r>
      <w:r>
        <w:rPr>
          <w:sz w:val="20"/>
        </w:rPr>
      </w:r>
    </w:p>
    <w:p>
      <w:pPr>
        <w:spacing w:before="60" w:after="80" w:line="276" w:lineRule="auto"/>
      </w:pPr>
      <w:r>
        <w:rPr>
          <w:sz w:val="20"/>
        </w:rPr>
        <w:t xml:space="preserve">  - Port: </w:t>
      </w:r>
      <w:r>
        <w:rPr>
          <w:rFonts w:ascii="Consolas" w:hAnsi="Consolas"/>
          <w:sz w:val="20"/>
        </w:rPr>
        <w:t>465</w:t>
      </w:r>
      <w:r>
        <w:rPr>
          <w:sz w:val="20"/>
        </w:rPr>
      </w:r>
    </w:p>
    <w:p>
      <w:pPr>
        <w:spacing w:before="60" w:after="80" w:line="276" w:lineRule="auto"/>
      </w:pPr>
      <w:r>
        <w:rPr>
          <w:sz w:val="20"/>
        </w:rPr>
        <w:t xml:space="preserve">  - Protocol: Direct SSL/TLS (</w:t>
      </w:r>
      <w:r>
        <w:rPr>
          <w:rFonts w:ascii="Consolas" w:hAnsi="Consolas"/>
          <w:sz w:val="20"/>
        </w:rPr>
        <w:t>SSLSocketFactory</w:t>
      </w:r>
      <w:r>
        <w:rPr>
          <w:sz w:val="20"/>
        </w:rPr>
        <w:t>).</w:t>
      </w:r>
    </w:p>
    <w:p>
      <w:pPr>
        <w:pStyle w:val="ListBullet"/>
        <w:spacing w:before="20" w:after="40" w:line="276" w:lineRule="auto"/>
      </w:pPr>
      <w:r>
        <w:rPr>
          <w:sz w:val="20"/>
        </w:rPr>
      </w:r>
      <w:r>
        <w:rPr>
          <w:b/>
          <w:sz w:val="20"/>
        </w:rPr>
        <w:t>Deliverability &amp; Validation API:</w:t>
      </w:r>
      <w:r>
        <w:rPr>
          <w:sz w:val="20"/>
        </w:rPr>
        <w:t xml:space="preserve"> AbstractAPI Email Reputation REST Service.</w:t>
      </w:r>
    </w:p>
    <w:p>
      <w:pPr>
        <w:spacing w:before="60" w:after="80" w:line="276" w:lineRule="auto"/>
      </w:pPr>
      <w:r>
        <w:rPr>
          <w:sz w:val="20"/>
        </w:rPr>
        <w:t xml:space="preserve">  - Endpoint: </w:t>
      </w:r>
      <w:r>
        <w:rPr>
          <w:rFonts w:ascii="Consolas" w:hAnsi="Consolas"/>
          <w:sz w:val="20"/>
        </w:rPr>
        <w:t>https://emailvalidation.abstractapi.com/v1/</w:t>
      </w:r>
      <w:r>
        <w:rPr>
          <w:sz w:val="20"/>
        </w:rPr>
      </w:r>
    </w:p>
    <w:p>
      <w:pPr>
        <w:spacing w:before="60" w:after="80" w:line="276" w:lineRule="auto"/>
      </w:pPr>
      <w:r>
        <w:rPr>
          <w:sz w:val="20"/>
        </w:rPr>
        <w:t xml:space="preserve">  - Key Management: Obfuscated pool of 5 API keys rotated round-robin to provide 500 free real-time reputation checks per month.</w:t>
      </w:r>
    </w:p>
    <w:p>
      <w:pPr>
        <w:spacing w:before="60" w:after="80" w:line="276" w:lineRule="auto"/>
      </w:pPr>
      <w:r>
        <w:rPr>
          <w:sz w:val="20"/>
        </w:rPr>
        <w:t xml:space="preserve">  - Verification: Live DNS MX lookup, spam evaluation, disposable domain rejection, and syntax checks.</w:t>
      </w:r>
    </w:p>
    <w:p>
      <w:pPr>
        <w:keepNext/>
        <w:spacing w:before="200" w:after="80"/>
      </w:pPr>
      <w:r>
        <w:rPr>
          <w:rFonts w:ascii="Arial" w:hAnsi="Arial"/>
          <w:b/>
          <w:color w:val="475569"/>
          <w:sz w:val="24"/>
        </w:rPr>
        <w:t>4.3 Version Manifest, Binary CDN &amp; Distribution Hosting</w:t>
      </w:r>
    </w:p>
    <w:p>
      <w:pPr>
        <w:pStyle w:val="ListBullet"/>
        <w:spacing w:before="20" w:after="40" w:line="276" w:lineRule="auto"/>
      </w:pPr>
      <w:r>
        <w:rPr>
          <w:sz w:val="20"/>
        </w:rPr>
      </w:r>
      <w:r>
        <w:rPr>
          <w:b/>
          <w:sz w:val="20"/>
        </w:rPr>
        <w:t>Source Code &amp; Project Host:</w:t>
      </w:r>
      <w:r>
        <w:rPr>
          <w:sz w:val="20"/>
        </w:rPr>
        <w:t xml:space="preserve"> GitHub ([</w:t>
      </w:r>
      <w:r>
        <w:rPr>
          <w:rFonts w:ascii="Consolas" w:hAnsi="Consolas"/>
          <w:sz w:val="20"/>
        </w:rPr>
        <w:t>https://github.com/ZEKESAMP/AcadsCatchUp</w:t>
      </w:r>
      <w:r>
        <w:rPr>
          <w:sz w:val="20"/>
        </w:rPr>
        <w:t>](https://github.com/ZEKESAMP/AcadsCatchUp)).</w:t>
      </w:r>
    </w:p>
    <w:p>
      <w:pPr>
        <w:pStyle w:val="ListBullet"/>
        <w:spacing w:before="20" w:after="40" w:line="276" w:lineRule="auto"/>
      </w:pPr>
      <w:r>
        <w:rPr>
          <w:sz w:val="20"/>
        </w:rPr>
      </w:r>
      <w:r>
        <w:rPr>
          <w:b/>
          <w:sz w:val="20"/>
        </w:rPr>
        <w:t>Version Manifest Hosting:</w:t>
      </w:r>
      <w:r>
        <w:rPr>
          <w:sz w:val="20"/>
        </w:rPr>
        <w:t xml:space="preserve"> GitHub Raw Content Delivery Network.</w:t>
      </w:r>
    </w:p>
    <w:p>
      <w:pPr>
        <w:spacing w:before="60" w:after="80" w:line="276" w:lineRule="auto"/>
      </w:pPr>
      <w:r>
        <w:rPr>
          <w:sz w:val="20"/>
        </w:rPr>
        <w:t xml:space="preserve">  - URL: </w:t>
      </w:r>
      <w:r>
        <w:rPr>
          <w:rFonts w:ascii="Consolas" w:hAnsi="Consolas"/>
          <w:sz w:val="20"/>
        </w:rPr>
        <w:t>https://raw.githubusercontent.com/ZEKESAMP/AcadsCatchUp/main/version.json</w:t>
      </w:r>
      <w:r>
        <w:rPr>
          <w:sz w:val="20"/>
        </w:rPr>
      </w:r>
    </w:p>
    <w:p>
      <w:pPr>
        <w:spacing w:before="60" w:after="80" w:line="276" w:lineRule="auto"/>
      </w:pPr>
      <w:r>
        <w:rPr>
          <w:sz w:val="20"/>
        </w:rPr>
        <w:t xml:space="preserve">  - Role: Queried asynchronously by </w:t>
      </w:r>
      <w:r>
        <w:rPr>
          <w:rFonts w:ascii="Consolas" w:hAnsi="Consolas"/>
          <w:sz w:val="20"/>
        </w:rPr>
        <w:t>UpdateSplash</w:t>
      </w:r>
      <w:r>
        <w:rPr>
          <w:sz w:val="20"/>
        </w:rPr>
        <w:t xml:space="preserve"> during startup to determine update availability without full repo cloning.</w:t>
      </w:r>
    </w:p>
    <w:p>
      <w:pPr>
        <w:pStyle w:val="ListBullet"/>
        <w:spacing w:before="20" w:after="40" w:line="276" w:lineRule="auto"/>
      </w:pPr>
      <w:r>
        <w:rPr>
          <w:sz w:val="20"/>
        </w:rPr>
      </w:r>
      <w:r>
        <w:rPr>
          <w:b/>
          <w:sz w:val="20"/>
        </w:rPr>
        <w:t>Binary Download CDN:</w:t>
      </w:r>
      <w:r>
        <w:rPr>
          <w:sz w:val="20"/>
        </w:rPr>
        <w:t xml:space="preserve"> GitHub Releases.</w:t>
      </w:r>
    </w:p>
    <w:p>
      <w:pPr>
        <w:spacing w:before="60" w:after="80" w:line="276" w:lineRule="auto"/>
      </w:pPr>
      <w:r>
        <w:rPr>
          <w:sz w:val="20"/>
        </w:rPr>
        <w:t xml:space="preserve">  - Release Endpoint: </w:t>
      </w:r>
      <w:r>
        <w:rPr>
          <w:rFonts w:ascii="Consolas" w:hAnsi="Consolas"/>
          <w:sz w:val="20"/>
        </w:rPr>
        <w:t>https://github.com/ZEKESAMP/AcadsCatchUp/releases/download/v1.1.0/</w:t>
      </w:r>
      <w:r>
        <w:rPr>
          <w:sz w:val="20"/>
        </w:rPr>
      </w:r>
    </w:p>
    <w:p>
      <w:pPr>
        <w:spacing w:before="60" w:after="80" w:line="276" w:lineRule="auto"/>
      </w:pPr>
      <w:r>
        <w:rPr>
          <w:sz w:val="20"/>
        </w:rPr>
        <w:t xml:space="preserve">  - Hosted Artifacts: </w:t>
      </w:r>
      <w:r>
        <w:rPr>
          <w:rFonts w:ascii="Consolas" w:hAnsi="Consolas"/>
          <w:sz w:val="20"/>
        </w:rPr>
        <w:t>AcadsCatchUp.jar</w:t>
      </w:r>
      <w:r>
        <w:rPr>
          <w:sz w:val="20"/>
        </w:rPr>
        <w:t xml:space="preserve"> (fat executable), </w:t>
      </w:r>
      <w:r>
        <w:rPr>
          <w:rFonts w:ascii="Consolas" w:hAnsi="Consolas"/>
          <w:sz w:val="20"/>
        </w:rPr>
        <w:t>AcadsCatchUp-v1.0.zip</w:t>
      </w:r>
      <w:r>
        <w:rPr>
          <w:sz w:val="20"/>
        </w:rPr>
        <w:t xml:space="preserve"> (portable Windows bundle), </w:t>
      </w:r>
      <w:r>
        <w:rPr>
          <w:rFonts w:ascii="Consolas" w:hAnsi="Consolas"/>
          <w:sz w:val="20"/>
        </w:rPr>
        <w:t>AcadsCatchUp-Linux.tar.gz</w:t>
      </w:r>
      <w:r>
        <w:rPr>
          <w:sz w:val="20"/>
        </w:rPr>
        <w:t xml:space="preserve"> (Linux distribution), and </w:t>
      </w:r>
      <w:r>
        <w:rPr>
          <w:rFonts w:ascii="Consolas" w:hAnsi="Consolas"/>
          <w:sz w:val="20"/>
        </w:rPr>
        <w:t>AcadsCatchUp.exe</w:t>
      </w:r>
      <w:r>
        <w:rPr>
          <w:sz w:val="20"/>
        </w:rPr>
        <w:t>.</w:t>
      </w:r>
    </w:p>
    <w:p>
      <w:pPr>
        <w:pStyle w:val="ListBullet"/>
        <w:spacing w:before="20" w:after="40" w:line="276" w:lineRule="auto"/>
      </w:pPr>
      <w:r>
        <w:rPr>
          <w:sz w:val="20"/>
        </w:rPr>
      </w:r>
      <w:r>
        <w:rPr>
          <w:b/>
          <w:sz w:val="20"/>
        </w:rPr>
        <w:t>Continuous Integration &amp; Delivery (CI/CD):</w:t>
      </w:r>
      <w:r>
        <w:rPr>
          <w:sz w:val="20"/>
        </w:rPr>
        <w:t xml:space="preserve"> GitHub Actions.</w:t>
      </w:r>
    </w:p>
    <w:p>
      <w:pPr>
        <w:spacing w:before="60" w:after="80" w:line="276" w:lineRule="auto"/>
      </w:pPr>
      <w:r>
        <w:rPr>
          <w:sz w:val="20"/>
        </w:rPr>
        <w:t xml:space="preserve">  - Workflow Runners: </w:t>
      </w:r>
      <w:r>
        <w:rPr>
          <w:rFonts w:ascii="Consolas" w:hAnsi="Consolas"/>
          <w:sz w:val="20"/>
        </w:rPr>
        <w:t>windows-latest</w:t>
      </w:r>
      <w:r>
        <w:rPr>
          <w:sz w:val="20"/>
        </w:rPr>
        <w:t xml:space="preserve"> virtual environments.</w:t>
      </w:r>
    </w:p>
    <w:p>
      <w:pPr>
        <w:spacing w:before="60" w:after="80" w:line="276" w:lineRule="auto"/>
      </w:pPr>
      <w:r>
        <w:rPr>
          <w:sz w:val="20"/>
        </w:rPr>
        <w:t xml:space="preserve">  - Actions: Automated compilation on push/tags, DeveloperGuard compliance check, fatjar building, Linux artifact generation, and automatic GitHub Release publication.</w:t>
      </w:r>
    </w:p>
    <w:p>
      <w:pPr>
        <w:keepNext/>
        <w:spacing w:before="280" w:after="100"/>
      </w:pPr>
      <w:r>
        <w:rPr>
          <w:rFonts w:ascii="Arial" w:hAnsi="Arial"/>
          <w:b/>
          <w:color w:val="1E3A8A"/>
          <w:sz w:val="28"/>
        </w:rPr>
        <w:t>5. System Architecture &amp; Software Design Patterns</w:t>
      </w:r>
    </w:p>
    <w:p>
      <w:pPr>
        <w:spacing w:before="60" w:after="80" w:line="276" w:lineRule="auto"/>
      </w:pPr>
      <w:r>
        <w:rPr>
          <w:sz w:val="20"/>
        </w:rPr>
        <w:t xml:space="preserve">AcadsCatchUp follows a modular </w:t>
      </w:r>
      <w:r>
        <w:rPr>
          <w:b/>
          <w:sz w:val="20"/>
        </w:rPr>
        <w:t>Model-View-Controller (MVC)</w:t>
      </w:r>
      <w:r>
        <w:rPr>
          <w:sz w:val="20"/>
        </w:rPr>
        <w:t xml:space="preserve"> and </w:t>
      </w:r>
      <w:r>
        <w:rPr>
          <w:b/>
          <w:sz w:val="20"/>
        </w:rPr>
        <w:t>Data Access Object (DAO)</w:t>
      </w:r>
      <w:r>
        <w:rPr>
          <w:sz w:val="20"/>
        </w:rPr>
        <w:t xml:space="preserve"> architecture:</w:t>
      </w:r>
    </w:p>
    <w:tbl>
      <w:tblPr>
        <w:tblW w:type="auto" w:w="0"/>
        <w:jc w:val="center"/>
        <w:tblLook w:firstColumn="1" w:firstRow="1" w:lastColumn="0" w:lastRow="0" w:noHBand="0" w:noVBand="1" w:val="04A0"/>
      </w:tblPr>
      <w:tblGrid>
        <w:gridCol w:w="9648"/>
      </w:tblGrid>
      <w:tr>
        <w:tc>
          <w:tcPr>
            <w:tcW w:type="dxa" w:w="9360"/>
            <w:shd w:fill="0F172A"/>
            <w:tcMar>
              <w:top w:w="120" w:type="dxa"/>
              <w:bottom w:w="120" w:type="dxa"/>
              <w:left w:w="180" w:type="dxa"/>
              <w:right w:w="180" w:type="dxa"/>
            </w:tcMar>
            <w:tcBorders>
              <w:top w:val="single" w:sz="8" w:space="0" w:color="334155"/>
              <w:left w:val="single" w:sz="8" w:space="0" w:color="334155"/>
              <w:bottom w:val="single" w:sz="8" w:space="0" w:color="334155"/>
              <w:right w:val="single" w:sz="8" w:space="0" w:color="334155"/>
            </w:tcBorders>
          </w:tcPr>
          <w:p>
            <w:pPr>
              <w:spacing w:before="40" w:after="40" w:line="252" w:lineRule="auto"/>
            </w:pPr>
            <w:r>
              <w:rPr>
                <w:rFonts w:ascii="Consolas" w:hAnsi="Consolas"/>
                <w:color w:val="E2E8F0"/>
                <w:sz w:val="17"/>
              </w:rPr>
              <w:t>com.acadscatchup</w:t>
              <w:br/>
              <w:t>├── AppLauncher.java                  # Standalone bootstrap launcher &amp; CLI dispatcher</w:t>
              <w:br/>
              <w:t>├── Main.java                         # JavaFX lifecycle entry point &amp; scene initialization</w:t>
              <w:br/>
              <w:t>│</w:t>
              <w:br/>
              <w:t>├── controller                        # [CONTROLLER LAYER] View events &amp; business rules</w:t>
              <w:br/>
              <w:t>│   ├── LoginController.java          # Authentication, 2FA prompt, session creation</w:t>
              <w:br/>
              <w:t>│   ├── StudentDashboardController.java # Student deficiency checklist, instant search</w:t>
              <w:br/>
              <w:t>│   ├── ProfDashboardController.java  # Professor deficiency grading &amp; scoped views</w:t>
              <w:br/>
              <w:t>│   ├── AdminDashboardController.java # Master administrator management console</w:t>
              <w:br/>
              <w:t>│   ├── ManageUsersController.java    # Account provisioning, year level &amp; subject assign</w:t>
              <w:br/>
              <w:t>│   ├── EnrollStudentController.java  # Batch course enrollment modal</w:t>
              <w:br/>
              <w:t>│   ├── SubmitItemController.java     # Student remediation file/link submit modal</w:t>
              <w:br/>
              <w:t>│   ├── AddEditItemController.java    # Deficiency creation &amp; editing dialog</w:t>
              <w:br/>
              <w:t>│   ├── AddSubjectController.java     # Subject catalog management dialog</w:t>
              <w:br/>
              <w:t>│   ├── UserInboxController.java      # In-app messaging &amp; alert interface</w:t>
              <w:br/>
              <w:t>│   ├── AdminInboxController.java     # Helpdesk report audit &amp; administrative replies</w:t>
              <w:br/>
              <w:t>│   ├── HelpReportController.java     # User support request dispatch dialog</w:t>
              <w:br/>
              <w:t>│   └── FAQController.java            # Interactive help &amp; system FAQ viewer</w:t>
              <w:br/>
              <w:t>│</w:t>
              <w:br/>
              <w:t>├── dao                               # [DATA ACCESS LAYER] Parameterized SQL abstraction</w:t>
              <w:br/>
              <w:t>│   ├── UserDAO.java                  # User CRUD, role management, salted SHA-256 login</w:t>
              <w:br/>
              <w:t>│   ├── SubjectDAO.java               # Course catalog, faculty teaching assignments</w:t>
              <w:br/>
              <w:t>│   ├── MissedItemDAO.java            # Academic deficiencies, submissions, grading</w:t>
              <w:br/>
              <w:t>│   ├── InboxDAO.java                 # In-app notifications &amp; student alerts</w:t>
              <w:br/>
              <w:t>│   └── HelpReportDAO.java            # System auditing &amp; user feedback submissions</w:t>
              <w:br/>
              <w:t>│</w:t>
              <w:br/>
              <w:t>├── db                                # [PERSISTENCE LAYER] Dual database engine</w:t>
              <w:br/>
              <w:t>│   └── DBConnection.java             # TiDB Cloud MySQL, connection pool, SQLite fallback</w:t>
              <w:br/>
              <w:t>│</w:t>
              <w:br/>
              <w:t>├── model                             # [MODEL LAYER] Domain entity representations</w:t>
              <w:br/>
              <w:t>│   ├── User.java                     # System user entity (ID, username, role, year)</w:t>
              <w:br/>
              <w:t>│   ├── Subject.java                  # Course entity (ID, code, name)</w:t>
              <w:br/>
              <w:t>│   ├── MissedItem.java               # Academic deficiency record</w:t>
              <w:br/>
              <w:t>│   ├── InboxMessage.java             # Direct messaging &amp; alert notification entity</w:t>
              <w:br/>
              <w:t>│   └── HelpReport.java               # Helpdesk ticket entity</w:t>
              <w:br/>
              <w:t>│</w:t>
              <w:br/>
              <w:t>├── installer                         # [DEPLOYMENT LAYER] Setup &amp; removal wizards</w:t>
              <w:br/>
              <w:t>│   ├── AcadsCatchUpInstaller.java    # Standalone desktop installation wizard</w:t>
              <w:br/>
              <w:t>│   └── Uninstaller.java              # Clean uninstaller wizard</w:t>
              <w:br/>
              <w:t>│</w:t>
              <w:br/>
              <w:t>└── util                              # [UTILITY LAYER] Cross-cutting concerns</w:t>
              <w:br/>
              <w:t xml:space="preserve">    ├── DeveloperGuard.java           # Runtime class reflection integrity scanner</w:t>
              <w:br/>
              <w:t xml:space="preserve">    ├── PasswordUtil.java             # Salted SHA-256 password hashing &amp; migration</w:t>
              <w:br/>
              <w:t xml:space="preserve">    ├── EmailService.java             # Low-level SMTP engine &amp; 6-digit OTP generator</w:t>
              <w:br/>
              <w:t xml:space="preserve">    ├── GmailLookupUtil.java          # DNS MX verification &amp; AbstractAPI validator</w:t>
              <w:br/>
              <w:t xml:space="preserve">    ├── LiveSyncService.java          # Real-time background mutation detection daemon</w:t>
              <w:br/>
              <w:t xml:space="preserve">    ├── UpdateSplash.java             # Discord-style splash &amp; self-updating handoff</w:t>
              <w:br/>
              <w:t xml:space="preserve">    ├── UpdatesDialog.java            # Interactive release notes &amp; changelog modal</w:t>
              <w:br/>
              <w:t xml:space="preserve">    ├── UpdateNoticeUtil.java         # Automated What's New inbox broadcaster</w:t>
              <w:br/>
              <w:t xml:space="preserve">    ├── CSVExporter.java              # Structured CSV checklist generation</w:t>
              <w:br/>
              <w:t xml:space="preserve">    ├── AppTrayManager.java           # Windows system tray close-to-tray manager</w:t>
              <w:br/>
              <w:t xml:space="preserve">    ├── WindowsNotificationUtil.java  # Native OS toast alerts &amp; sound dispatcher</w:t>
              <w:br/>
              <w:t xml:space="preserve">    ├── InAppNotification.java        # Non-intrusive animated in-app toast banners</w:t>
              <w:br/>
              <w:t xml:space="preserve">    ├── LoadingOverlay.java           # Asynchronous UI thread spinner blocker</w:t>
              <w:br/>
              <w:t xml:space="preserve">    ├── ModalOverlay.java             # Undecorated dark-theme dialog wrapper</w:t>
              <w:br/>
              <w:t xml:space="preserve">    ├── CustomAlert.java              # Styled confirmation &amp; warning modals</w:t>
              <w:br/>
              <w:t xml:space="preserve">    ├── PasswordToggleHelper.java     # Eye icon show/hide password helper</w:t>
              <w:br/>
              <w:t xml:space="preserve">    ├── ResponsiveLayoutUtil.java     # Dynamic resolution &amp; layout scaler</w:t>
              <w:br/>
              <w:t xml:space="preserve">    ├── WindowUtil.java               # Fullscreen centering &amp; screen-bound calculator</w:t>
              <w:br/>
              <w:t xml:space="preserve">    ├── OSCompat.java                 # Cross-platform font &amp; emoji normalizer</w:t>
              <w:br/>
              <w:t xml:space="preserve">    └── Session.java                  # Global authenticated user state holder</w:t>
            </w:r>
          </w:p>
        </w:tc>
      </w:tr>
    </w:tbl>
    <w:p>
      <w:pPr>
        <w:spacing w:after="120"/>
      </w:pPr>
    </w:p>
    <w:p>
      <w:pPr>
        <w:keepNext/>
        <w:spacing w:before="200" w:after="80"/>
      </w:pPr>
      <w:r>
        <w:rPr>
          <w:rFonts w:ascii="Arial" w:hAnsi="Arial"/>
          <w:b/>
          <w:color w:val="475569"/>
          <w:sz w:val="24"/>
        </w:rPr>
        <w:t>Design Patterns Implemented</w:t>
      </w:r>
    </w:p>
    <w:p>
      <w:pPr>
        <w:spacing w:before="40" w:after="40" w:line="276" w:lineRule="auto"/>
        <w:ind w:left="360"/>
      </w:pPr>
      <w:r>
        <w:rPr>
          <w:b/>
        </w:rPr>
        <w:t xml:space="preserve">1. </w:t>
      </w:r>
      <w:r>
        <w:rPr>
          <w:sz w:val="20"/>
        </w:rPr>
      </w:r>
      <w:r>
        <w:rPr>
          <w:b/>
          <w:sz w:val="20"/>
        </w:rPr>
        <w:t>Model-View-Controller (MVC):</w:t>
      </w:r>
      <w:r>
        <w:rPr>
          <w:sz w:val="20"/>
        </w:rPr>
        <w:t xml:space="preserve"> Strict boundary between XML view definitions (</w:t>
      </w:r>
      <w:r>
        <w:rPr>
          <w:rFonts w:ascii="Consolas" w:hAnsi="Consolas"/>
          <w:sz w:val="20"/>
        </w:rPr>
        <w:t>.fxml</w:t>
      </w:r>
      <w:r>
        <w:rPr>
          <w:sz w:val="20"/>
        </w:rPr>
        <w:t>), domain models (</w:t>
      </w:r>
      <w:r>
        <w:rPr>
          <w:rFonts w:ascii="Consolas" w:hAnsi="Consolas"/>
          <w:sz w:val="20"/>
        </w:rPr>
        <w:t>model.*</w:t>
      </w:r>
      <w:r>
        <w:rPr>
          <w:sz w:val="20"/>
        </w:rPr>
        <w:t>), and event controllers (</w:t>
      </w:r>
      <w:r>
        <w:rPr>
          <w:rFonts w:ascii="Consolas" w:hAnsi="Consolas"/>
          <w:sz w:val="20"/>
        </w:rPr>
        <w:t>controller.*</w:t>
      </w:r>
      <w:r>
        <w:rPr>
          <w:sz w:val="20"/>
        </w:rPr>
        <w:t>).</w:t>
      </w:r>
    </w:p>
    <w:p>
      <w:pPr>
        <w:spacing w:before="40" w:after="40" w:line="276" w:lineRule="auto"/>
        <w:ind w:left="360"/>
      </w:pPr>
      <w:r>
        <w:rPr>
          <w:b/>
        </w:rPr>
        <w:t xml:space="preserve">2. </w:t>
      </w:r>
      <w:r>
        <w:rPr>
          <w:sz w:val="20"/>
        </w:rPr>
      </w:r>
      <w:r>
        <w:rPr>
          <w:b/>
          <w:sz w:val="20"/>
        </w:rPr>
        <w:t>Data Access Object (DAO):</w:t>
      </w:r>
      <w:r>
        <w:rPr>
          <w:sz w:val="20"/>
        </w:rPr>
        <w:t xml:space="preserve"> Isolates all SQL statements within dedicated DAO classes, guaranteeing parameterized </w:t>
      </w:r>
      <w:r>
        <w:rPr>
          <w:rFonts w:ascii="Consolas" w:hAnsi="Consolas"/>
          <w:sz w:val="20"/>
        </w:rPr>
        <w:t>PreparedStatement</w:t>
      </w:r>
      <w:r>
        <w:rPr>
          <w:sz w:val="20"/>
        </w:rPr>
        <w:t xml:space="preserve"> usage against SQL injection.</w:t>
      </w:r>
    </w:p>
    <w:p>
      <w:pPr>
        <w:spacing w:before="40" w:after="40" w:line="276" w:lineRule="auto"/>
        <w:ind w:left="360"/>
      </w:pPr>
      <w:r>
        <w:rPr>
          <w:b/>
        </w:rPr>
        <w:t xml:space="preserve">3. </w:t>
      </w:r>
      <w:r>
        <w:rPr>
          <w:sz w:val="20"/>
        </w:rPr>
      </w:r>
      <w:r>
        <w:rPr>
          <w:b/>
          <w:sz w:val="20"/>
        </w:rPr>
        <w:t>Dynamic Proxy Connection Pool:</w:t>
      </w:r>
      <w:r>
        <w:rPr>
          <w:sz w:val="20"/>
        </w:rPr>
        <w:t xml:space="preserve"> </w:t>
      </w:r>
      <w:r>
        <w:rPr>
          <w:rFonts w:ascii="Consolas" w:hAnsi="Consolas"/>
          <w:sz w:val="20"/>
        </w:rPr>
        <w:t>DBConnection</w:t>
      </w:r>
      <w:r>
        <w:rPr>
          <w:sz w:val="20"/>
        </w:rPr>
        <w:t xml:space="preserve"> wraps physical JDBC connections in a </w:t>
      </w:r>
      <w:r>
        <w:rPr>
          <w:rFonts w:ascii="Consolas" w:hAnsi="Consolas"/>
          <w:sz w:val="20"/>
        </w:rPr>
        <w:t>java.lang.reflect.Proxy</w:t>
      </w:r>
      <w:r>
        <w:rPr>
          <w:sz w:val="20"/>
        </w:rPr>
        <w:t xml:space="preserve"> to intercept </w:t>
      </w:r>
      <w:r>
        <w:rPr>
          <w:rFonts w:ascii="Consolas" w:hAnsi="Consolas"/>
          <w:sz w:val="20"/>
        </w:rPr>
        <w:t>.close()</w:t>
      </w:r>
      <w:r>
        <w:rPr>
          <w:sz w:val="20"/>
        </w:rPr>
        <w:t xml:space="preserve">, returning connections to a </w:t>
      </w:r>
      <w:r>
        <w:rPr>
          <w:rFonts w:ascii="Consolas" w:hAnsi="Consolas"/>
          <w:sz w:val="20"/>
        </w:rPr>
        <w:t>BlockingQueue</w:t>
      </w:r>
      <w:r>
        <w:rPr>
          <w:sz w:val="20"/>
        </w:rPr>
        <w:t xml:space="preserve"> instead of severing remote TLS sockets.</w:t>
      </w:r>
    </w:p>
    <w:p>
      <w:pPr>
        <w:spacing w:before="40" w:after="40" w:line="276" w:lineRule="auto"/>
        <w:ind w:left="360"/>
      </w:pPr>
      <w:r>
        <w:rPr>
          <w:b/>
        </w:rPr>
        <w:t xml:space="preserve">4. </w:t>
      </w:r>
      <w:r>
        <w:rPr>
          <w:sz w:val="20"/>
        </w:rPr>
      </w:r>
      <w:r>
        <w:rPr>
          <w:b/>
          <w:sz w:val="20"/>
        </w:rPr>
        <w:t>Observer / Listener Pattern:</w:t>
      </w:r>
      <w:r>
        <w:rPr>
          <w:sz w:val="20"/>
        </w:rPr>
        <w:t xml:space="preserve"> </w:t>
      </w:r>
      <w:r>
        <w:rPr>
          <w:rFonts w:ascii="Consolas" w:hAnsi="Consolas"/>
          <w:sz w:val="20"/>
        </w:rPr>
        <w:t>LiveSyncService.SyncListener</w:t>
      </w:r>
      <w:r>
        <w:rPr>
          <w:sz w:val="20"/>
        </w:rPr>
        <w:t xml:space="preserve"> registers callbacks executed on the JavaFX Application Thread (</w:t>
      </w:r>
      <w:r>
        <w:rPr>
          <w:rFonts w:ascii="Consolas" w:hAnsi="Consolas"/>
          <w:sz w:val="20"/>
        </w:rPr>
        <w:t>Platform.runLater()</w:t>
      </w:r>
      <w:r>
        <w:rPr>
          <w:sz w:val="20"/>
        </w:rPr>
        <w:t>) when database fingerprints mutate.</w:t>
      </w:r>
    </w:p>
    <w:p>
      <w:pPr>
        <w:spacing w:before="40" w:after="40" w:line="276" w:lineRule="auto"/>
        <w:ind w:left="360"/>
      </w:pPr>
      <w:r>
        <w:rPr>
          <w:b/>
        </w:rPr>
        <w:t xml:space="preserve">5. </w:t>
      </w:r>
      <w:r>
        <w:rPr>
          <w:sz w:val="20"/>
        </w:rPr>
      </w:r>
      <w:r>
        <w:rPr>
          <w:b/>
          <w:sz w:val="20"/>
        </w:rPr>
        <w:t>Failover / Dual Engine Strategy:</w:t>
      </w:r>
      <w:r>
        <w:rPr>
          <w:sz w:val="20"/>
        </w:rPr>
        <w:t xml:space="preserve"> Dynamic switching between cloud MySQL and local SQLite based on live socket reachability.</w:t>
      </w:r>
    </w:p>
    <w:p>
      <w:pPr>
        <w:spacing w:before="40" w:after="40" w:line="276" w:lineRule="auto"/>
        <w:ind w:left="360"/>
      </w:pPr>
      <w:r>
        <w:rPr>
          <w:b/>
        </w:rPr>
        <w:t xml:space="preserve">6. </w:t>
      </w:r>
      <w:r>
        <w:rPr>
          <w:sz w:val="20"/>
        </w:rPr>
      </w:r>
      <w:r>
        <w:rPr>
          <w:b/>
          <w:sz w:val="20"/>
        </w:rPr>
        <w:t>Integrity Guard Scanner:</w:t>
      </w:r>
      <w:r>
        <w:rPr>
          <w:sz w:val="20"/>
        </w:rPr>
        <w:t xml:space="preserve"> Reflection-based fail-fast verification auditing class bytecodes against modification.</w:t>
      </w:r>
    </w:p>
    <w:p>
      <w:pPr>
        <w:keepNext/>
        <w:spacing w:before="280" w:after="100"/>
      </w:pPr>
      <w:r>
        <w:rPr>
          <w:rFonts w:ascii="Arial" w:hAnsi="Arial"/>
          <w:b/>
          <w:color w:val="1E3A8A"/>
          <w:sz w:val="28"/>
        </w:rPr>
        <w:t>6. Complete Database Schema &amp; Relational Model</w:t>
      </w:r>
    </w:p>
    <w:p>
      <w:pPr>
        <w:spacing w:before="60" w:after="80" w:line="276" w:lineRule="auto"/>
      </w:pPr>
      <w:r>
        <w:rPr>
          <w:sz w:val="20"/>
        </w:rPr>
        <w:t xml:space="preserve">The relational database architecture is defined in </w:t>
      </w:r>
      <w:r>
        <w:rPr>
          <w:rFonts w:ascii="Consolas" w:hAnsi="Consolas"/>
          <w:sz w:val="20"/>
        </w:rPr>
        <w:t>init.sql</w:t>
      </w:r>
      <w:r>
        <w:rPr>
          <w:sz w:val="20"/>
        </w:rPr>
        <w:t xml:space="preserve"> and reinforced dynamically by </w:t>
      </w:r>
      <w:r>
        <w:rPr>
          <w:rFonts w:ascii="Consolas" w:hAnsi="Consolas"/>
          <w:sz w:val="20"/>
        </w:rPr>
        <w:t>DBConnection.java</w:t>
      </w:r>
      <w:r>
        <w:rPr>
          <w:sz w:val="20"/>
        </w:rPr>
        <w:t>:</w:t>
      </w:r>
    </w:p>
    <w:tbl>
      <w:tblPr>
        <w:tblW w:type="auto" w:w="0"/>
        <w:jc w:val="center"/>
        <w:tblLook w:firstColumn="1" w:firstRow="1" w:lastColumn="0" w:lastRow="0" w:noHBand="0" w:noVBand="1" w:val="04A0"/>
      </w:tblPr>
      <w:tblGrid>
        <w:gridCol w:w="9648"/>
      </w:tblGrid>
      <w:tr>
        <w:tc>
          <w:tcPr>
            <w:tcW w:type="dxa" w:w="9360"/>
            <w:shd w:fill="0F172A"/>
            <w:tcMar>
              <w:top w:w="120" w:type="dxa"/>
              <w:bottom w:w="120" w:type="dxa"/>
              <w:left w:w="180" w:type="dxa"/>
              <w:right w:w="180" w:type="dxa"/>
            </w:tcMar>
            <w:tcBorders>
              <w:top w:val="single" w:sz="8" w:space="0" w:color="334155"/>
              <w:left w:val="single" w:sz="8" w:space="0" w:color="334155"/>
              <w:bottom w:val="single" w:sz="8" w:space="0" w:color="334155"/>
              <w:right w:val="single" w:sz="8" w:space="0" w:color="334155"/>
            </w:tcBorders>
          </w:tcPr>
          <w:p>
            <w:pPr>
              <w:spacing w:before="40" w:after="40" w:line="252" w:lineRule="auto"/>
            </w:pPr>
            <w:r>
              <w:rPr>
                <w:rFonts w:ascii="Consolas" w:hAnsi="Consolas"/>
                <w:color w:val="E2E8F0"/>
                <w:sz w:val="17"/>
              </w:rPr>
              <w:t xml:space="preserve">               ┌───────────────────────────┐</w:t>
              <w:br/>
              <w:t xml:space="preserve">               │           users           │</w:t>
              <w:br/>
              <w:t xml:space="preserve">               ├───────────────────────────┤</w:t>
              <w:br/>
              <w:t xml:space="preserve">               │ id (PK)                   │◄──────┐</w:t>
              <w:br/>
              <w:t xml:space="preserve">               │ username (UQ)             │       │</w:t>
              <w:br/>
              <w:t xml:space="preserve">               │ password                  │       │</w:t>
              <w:br/>
              <w:t xml:space="preserve">               │ full_name                 │       │</w:t>
              <w:br/>
              <w:t xml:space="preserve">               │ email                     │       │</w:t>
              <w:br/>
              <w:t xml:space="preserve">               │ role                      │       │</w:t>
              <w:br/>
              <w:t xml:space="preserve">               │ program                   │       │</w:t>
              <w:br/>
              <w:t xml:space="preserve">               │ year_level                │       │</w:t>
              <w:br/>
              <w:t xml:space="preserve">               │ is_verified               │       │</w:t>
              <w:br/>
              <w:t xml:space="preserve">               │ created_at                │       │</w:t>
              <w:br/>
              <w:t xml:space="preserve">               └─────────────┬─────────────┘       │</w:t>
              <w:br/>
              <w:t xml:space="preserve">                             │                     │</w:t>
              <w:br/>
              <w:t xml:space="preserve">      ┌──────────────────────┼─────────────────────┼──────────────────────┐</w:t>
              <w:br/>
              <w:t xml:space="preserve">      │ 1:N                  │ 1:N                 │ 1:N                  │ 1:N</w:t>
              <w:br/>
              <w:t xml:space="preserve">      ▼                      ▼                     ▼                      ▼</w:t>
              <w:br/>
              <w:t>┌──────────────┐      ┌──────────────┐      ┌──────────────┐      ┌──────────────┐</w:t>
              <w:br/>
              <w:t>│ enrollments  │      │professor_sub │      │ missed_items │      │inbox_messages│</w:t>
              <w:br/>
              <w:t>├──────────────┤      ├──────────────┤      ├──────────────┤      ├──────────────┤</w:t>
              <w:br/>
              <w:t>│ student_id*  │      │professor_id* │      │ id (PK)      │      │ id (PK)      │</w:t>
              <w:br/>
              <w:t>│ subject_id*  │      │subject_id*   │      │ student_id*  │      │ sender_id*   │</w:t>
              <w:br/>
              <w:t>└──────┬───────┘      └──────┬───────┘      │ subject_id*  │      │ recipient_id*│</w:t>
              <w:br/>
              <w:t xml:space="preserve">       │                     │              │ item_type    │      │ title        │</w:t>
              <w:br/>
              <w:t xml:space="preserve">       │ N:1                 │ N:1          │ item_name    │      │ message      │</w:t>
              <w:br/>
              <w:t xml:space="preserve">       └──────────────┬──────┘              │ date_missed  │      │ msg_type     │</w:t>
              <w:br/>
              <w:t xml:space="preserve">                      ▼                     │ deadline     │      │ is_read      │</w:t>
              <w:br/>
              <w:t xml:space="preserve">               ┌──────────────┐             │ status       │      │ created_at   │</w:t>
              <w:br/>
              <w:t xml:space="preserve">               │   subjects   │             │ notes        │      └──────────────┘</w:t>
              <w:br/>
              <w:t xml:space="preserve">               ├──────────────┤             │ created_by*  │</w:t>
              <w:br/>
              <w:t xml:space="preserve">               │ id (PK)      │◄────────────┤ attachment_* │</w:t>
              <w:br/>
              <w:t xml:space="preserve">               │ code (UQ)    │             │ created_at   │</w:t>
              <w:br/>
              <w:t xml:space="preserve">               │ name         │             └──────────────┘</w:t>
              <w:br/>
              <w:t xml:space="preserve">               └──────────────┘</w:t>
            </w:r>
          </w:p>
        </w:tc>
      </w:tr>
    </w:tbl>
    <w:p>
      <w:pPr>
        <w:spacing w:after="120"/>
      </w:pPr>
    </w:p>
    <w:p>
      <w:pPr>
        <w:keepNext/>
        <w:spacing w:before="200" w:after="80"/>
      </w:pPr>
      <w:r>
        <w:rPr>
          <w:rFonts w:ascii="Arial" w:hAnsi="Arial"/>
          <w:b/>
          <w:color w:val="475569"/>
          <w:sz w:val="24"/>
        </w:rPr>
        <w:t>6.1 Tables &amp; Schema Definitions</w:t>
      </w:r>
    </w:p>
    <w:p>
      <w:pPr>
        <w:keepNext/>
        <w:spacing w:before="160" w:after="60"/>
      </w:pPr>
      <w:r>
        <w:rPr>
          <w:rFonts w:ascii="Calibri" w:hAnsi="Calibri"/>
          <w:b/>
          <w:color w:val="334155"/>
          <w:sz w:val="22"/>
        </w:rPr>
        <w:t>1. `users` Table</w:t>
      </w:r>
    </w:p>
    <w:p>
      <w:pPr>
        <w:spacing w:before="60" w:after="80" w:line="276" w:lineRule="auto"/>
      </w:pPr>
      <w:r>
        <w:rPr>
          <w:sz w:val="20"/>
        </w:rPr>
        <w:t>Stores authenticated credentials, roles, and profile metadata.</w:t>
      </w:r>
    </w:p>
    <w:tbl>
      <w:tblPr>
        <w:tblW w:type="auto" w:w="0"/>
        <w:jc w:val="center"/>
        <w:tblLook w:firstColumn="1" w:firstRow="1" w:lastColumn="0" w:lastRow="0" w:noHBand="0" w:noVBand="1" w:val="04A0"/>
      </w:tblPr>
      <w:tblGrid>
        <w:gridCol w:w="9648"/>
      </w:tblGrid>
      <w:tr>
        <w:tc>
          <w:tcPr>
            <w:tcW w:type="dxa" w:w="9360"/>
            <w:shd w:fill="0F172A"/>
            <w:tcMar>
              <w:top w:w="120" w:type="dxa"/>
              <w:bottom w:w="120" w:type="dxa"/>
              <w:left w:w="180" w:type="dxa"/>
              <w:right w:w="180" w:type="dxa"/>
            </w:tcMar>
            <w:tcBorders>
              <w:top w:val="single" w:sz="8" w:space="0" w:color="334155"/>
              <w:left w:val="single" w:sz="8" w:space="0" w:color="334155"/>
              <w:bottom w:val="single" w:sz="8" w:space="0" w:color="334155"/>
              <w:right w:val="single" w:sz="8" w:space="0" w:color="334155"/>
            </w:tcBorders>
          </w:tcPr>
          <w:p>
            <w:pPr>
              <w:spacing w:before="40" w:after="40" w:line="252" w:lineRule="auto"/>
            </w:pPr>
            <w:r>
              <w:rPr>
                <w:rFonts w:ascii="Consolas" w:hAnsi="Consolas"/>
                <w:color w:val="E2E8F0"/>
                <w:sz w:val="17"/>
              </w:rPr>
              <w:t>CREATE TABLE IF NOT EXISTS users (</w:t>
              <w:br/>
              <w:t xml:space="preserve">    id         INT AUTO_INCREMENT PRIMARY KEY,</w:t>
              <w:br/>
              <w:t xml:space="preserve">    username   VARCHAR(50) UNIQUE NOT NULL,</w:t>
              <w:br/>
              <w:t xml:space="preserve">    password   VARCHAR(255) NOT NULL,</w:t>
              <w:br/>
              <w:t xml:space="preserve">    full_name  VARCHAR(100) NOT NULL,</w:t>
              <w:br/>
              <w:t xml:space="preserve">    email      VARCHAR(150) DEFAULT NULL,</w:t>
              <w:br/>
              <w:t xml:space="preserve">    role       VARCHAR(20) NOT NULL, -- 'ADMIN', 'PROFESSOR', 'STUDENT'</w:t>
              <w:br/>
              <w:t xml:space="preserve">    program    VARCHAR(100) DEFAULT 'BSIT',</w:t>
              <w:br/>
              <w:t xml:space="preserve">    year_level INT DEFAULT 0,        -- 0 = All Years, 1 = 1st Year, etc.</w:t>
              <w:br/>
              <w:t xml:space="preserve">    is_verified TINYINT DEFAULT 0,   -- 1 = Email OTP verified</w:t>
              <w:br/>
              <w:t xml:space="preserve">    created_at TIMESTAMP DEFAULT CURRENT_TIMESTAMP</w:t>
              <w:br/>
              <w:t>) ENGINE=InnoDB;</w:t>
            </w:r>
          </w:p>
        </w:tc>
      </w:tr>
    </w:tbl>
    <w:p>
      <w:pPr>
        <w:spacing w:after="120"/>
      </w:pPr>
    </w:p>
    <w:p>
      <w:pPr>
        <w:keepNext/>
        <w:spacing w:before="160" w:after="60"/>
      </w:pPr>
      <w:r>
        <w:rPr>
          <w:rFonts w:ascii="Calibri" w:hAnsi="Calibri"/>
          <w:b/>
          <w:color w:val="334155"/>
          <w:sz w:val="22"/>
        </w:rPr>
        <w:t>2. `subjects` Table</w:t>
      </w:r>
    </w:p>
    <w:p>
      <w:pPr>
        <w:spacing w:before="60" w:after="80" w:line="276" w:lineRule="auto"/>
      </w:pPr>
      <w:r>
        <w:rPr>
          <w:sz w:val="20"/>
        </w:rPr>
        <w:t>Master catalog of dedicated curriculum courses.</w:t>
      </w:r>
    </w:p>
    <w:tbl>
      <w:tblPr>
        <w:tblW w:type="auto" w:w="0"/>
        <w:jc w:val="center"/>
        <w:tblLook w:firstColumn="1" w:firstRow="1" w:lastColumn="0" w:lastRow="0" w:noHBand="0" w:noVBand="1" w:val="04A0"/>
      </w:tblPr>
      <w:tblGrid>
        <w:gridCol w:w="9648"/>
      </w:tblGrid>
      <w:tr>
        <w:tc>
          <w:tcPr>
            <w:tcW w:type="dxa" w:w="9360"/>
            <w:shd w:fill="0F172A"/>
            <w:tcMar>
              <w:top w:w="120" w:type="dxa"/>
              <w:bottom w:w="120" w:type="dxa"/>
              <w:left w:w="180" w:type="dxa"/>
              <w:right w:w="180" w:type="dxa"/>
            </w:tcMar>
            <w:tcBorders>
              <w:top w:val="single" w:sz="8" w:space="0" w:color="334155"/>
              <w:left w:val="single" w:sz="8" w:space="0" w:color="334155"/>
              <w:bottom w:val="single" w:sz="8" w:space="0" w:color="334155"/>
              <w:right w:val="single" w:sz="8" w:space="0" w:color="334155"/>
            </w:tcBorders>
          </w:tcPr>
          <w:p>
            <w:pPr>
              <w:spacing w:before="40" w:after="40" w:line="252" w:lineRule="auto"/>
            </w:pPr>
            <w:r>
              <w:rPr>
                <w:rFonts w:ascii="Consolas" w:hAnsi="Consolas"/>
                <w:color w:val="E2E8F0"/>
                <w:sz w:val="17"/>
              </w:rPr>
              <w:t>CREATE TABLE IF NOT EXISTS subjects (</w:t>
              <w:br/>
              <w:t xml:space="preserve">    id   INT AUTO_INCREMENT PRIMARY KEY,</w:t>
              <w:br/>
              <w:t xml:space="preserve">    code VARCHAR(20) UNIQUE NOT NULL,</w:t>
              <w:br/>
              <w:t xml:space="preserve">    name VARCHAR(100) NOT NULL</w:t>
              <w:br/>
              <w:t>) ENGINE=InnoDB;</w:t>
            </w:r>
          </w:p>
        </w:tc>
      </w:tr>
    </w:tbl>
    <w:p>
      <w:pPr>
        <w:spacing w:after="120"/>
      </w:pPr>
    </w:p>
    <w:p>
      <w:pPr>
        <w:keepNext/>
        <w:spacing w:before="160" w:after="60"/>
      </w:pPr>
      <w:r>
        <w:rPr>
          <w:rFonts w:ascii="Calibri" w:hAnsi="Calibri"/>
          <w:b/>
          <w:color w:val="334155"/>
          <w:sz w:val="22"/>
        </w:rPr>
        <w:t>3. `enrollments` Table</w:t>
      </w:r>
    </w:p>
    <w:p>
      <w:pPr>
        <w:spacing w:before="60" w:after="80" w:line="276" w:lineRule="auto"/>
      </w:pPr>
      <w:r>
        <w:rPr>
          <w:sz w:val="20"/>
        </w:rPr>
        <w:t>Many-to-many relationship mapping students to their enrolled subjects.</w:t>
      </w:r>
    </w:p>
    <w:tbl>
      <w:tblPr>
        <w:tblW w:type="auto" w:w="0"/>
        <w:jc w:val="center"/>
        <w:tblLook w:firstColumn="1" w:firstRow="1" w:lastColumn="0" w:lastRow="0" w:noHBand="0" w:noVBand="1" w:val="04A0"/>
      </w:tblPr>
      <w:tblGrid>
        <w:gridCol w:w="9648"/>
      </w:tblGrid>
      <w:tr>
        <w:tc>
          <w:tcPr>
            <w:tcW w:type="dxa" w:w="9360"/>
            <w:shd w:fill="0F172A"/>
            <w:tcMar>
              <w:top w:w="120" w:type="dxa"/>
              <w:bottom w:w="120" w:type="dxa"/>
              <w:left w:w="180" w:type="dxa"/>
              <w:right w:w="180" w:type="dxa"/>
            </w:tcMar>
            <w:tcBorders>
              <w:top w:val="single" w:sz="8" w:space="0" w:color="334155"/>
              <w:left w:val="single" w:sz="8" w:space="0" w:color="334155"/>
              <w:bottom w:val="single" w:sz="8" w:space="0" w:color="334155"/>
              <w:right w:val="single" w:sz="8" w:space="0" w:color="334155"/>
            </w:tcBorders>
          </w:tcPr>
          <w:p>
            <w:pPr>
              <w:spacing w:before="40" w:after="40" w:line="252" w:lineRule="auto"/>
            </w:pPr>
            <w:r>
              <w:rPr>
                <w:rFonts w:ascii="Consolas" w:hAnsi="Consolas"/>
                <w:color w:val="E2E8F0"/>
                <w:sz w:val="17"/>
              </w:rPr>
              <w:t>CREATE TABLE IF NOT EXISTS enrollments (</w:t>
              <w:br/>
              <w:t xml:space="preserve">    student_id INT NOT NULL,</w:t>
              <w:br/>
              <w:t xml:space="preserve">    subject_id INT NOT NULL,</w:t>
              <w:br/>
              <w:t xml:space="preserve">    PRIMARY KEY (student_id, subject_id),</w:t>
              <w:br/>
              <w:t xml:space="preserve">    FOREIGN KEY (student_id) REFERENCES users(id) ON DELETE CASCADE,</w:t>
              <w:br/>
              <w:t xml:space="preserve">    FOREIGN KEY (subject_id) REFERENCES subjects(id) ON DELETE CASCADE</w:t>
              <w:br/>
              <w:t>) ENGINE=InnoDB;</w:t>
            </w:r>
          </w:p>
        </w:tc>
      </w:tr>
    </w:tbl>
    <w:p>
      <w:pPr>
        <w:spacing w:after="120"/>
      </w:pPr>
    </w:p>
    <w:p>
      <w:pPr>
        <w:keepNext/>
        <w:spacing w:before="160" w:after="60"/>
      </w:pPr>
      <w:r>
        <w:rPr>
          <w:rFonts w:ascii="Calibri" w:hAnsi="Calibri"/>
          <w:b/>
          <w:color w:val="334155"/>
          <w:sz w:val="22"/>
        </w:rPr>
        <w:t>4. `professor_subjects` Table</w:t>
      </w:r>
    </w:p>
    <w:p>
      <w:pPr>
        <w:spacing w:before="60" w:after="80" w:line="276" w:lineRule="auto"/>
      </w:pPr>
      <w:r>
        <w:rPr>
          <w:sz w:val="20"/>
        </w:rPr>
        <w:t>Many-to-many relationship mapping faculty members to assigned teaching subjects.</w:t>
      </w:r>
    </w:p>
    <w:tbl>
      <w:tblPr>
        <w:tblW w:type="auto" w:w="0"/>
        <w:jc w:val="center"/>
        <w:tblLook w:firstColumn="1" w:firstRow="1" w:lastColumn="0" w:lastRow="0" w:noHBand="0" w:noVBand="1" w:val="04A0"/>
      </w:tblPr>
      <w:tblGrid>
        <w:gridCol w:w="9648"/>
      </w:tblGrid>
      <w:tr>
        <w:tc>
          <w:tcPr>
            <w:tcW w:type="dxa" w:w="9360"/>
            <w:shd w:fill="0F172A"/>
            <w:tcMar>
              <w:top w:w="120" w:type="dxa"/>
              <w:bottom w:w="120" w:type="dxa"/>
              <w:left w:w="180" w:type="dxa"/>
              <w:right w:w="180" w:type="dxa"/>
            </w:tcMar>
            <w:tcBorders>
              <w:top w:val="single" w:sz="8" w:space="0" w:color="334155"/>
              <w:left w:val="single" w:sz="8" w:space="0" w:color="334155"/>
              <w:bottom w:val="single" w:sz="8" w:space="0" w:color="334155"/>
              <w:right w:val="single" w:sz="8" w:space="0" w:color="334155"/>
            </w:tcBorders>
          </w:tcPr>
          <w:p>
            <w:pPr>
              <w:spacing w:before="40" w:after="40" w:line="252" w:lineRule="auto"/>
            </w:pPr>
            <w:r>
              <w:rPr>
                <w:rFonts w:ascii="Consolas" w:hAnsi="Consolas"/>
                <w:color w:val="E2E8F0"/>
                <w:sz w:val="17"/>
              </w:rPr>
              <w:t>CREATE TABLE IF NOT EXISTS professor_subjects (</w:t>
              <w:br/>
              <w:t xml:space="preserve">    professor_id INT NOT NULL,</w:t>
              <w:br/>
              <w:t xml:space="preserve">    subject_id   INT NOT NULL,</w:t>
              <w:br/>
              <w:t xml:space="preserve">    PRIMARY KEY (professor_id, subject_id),</w:t>
              <w:br/>
              <w:t xml:space="preserve">    FOREIGN KEY (professor_id) REFERENCES users(id) ON DELETE CASCADE,</w:t>
              <w:br/>
              <w:t xml:space="preserve">    FOREIGN KEY (subject_id)   REFERENCES subjects(id) ON DELETE CASCADE</w:t>
              <w:br/>
              <w:t>) ENGINE=InnoDB;</w:t>
            </w:r>
          </w:p>
        </w:tc>
      </w:tr>
    </w:tbl>
    <w:p>
      <w:pPr>
        <w:spacing w:after="120"/>
      </w:pPr>
    </w:p>
    <w:p>
      <w:pPr>
        <w:keepNext/>
        <w:spacing w:before="160" w:after="60"/>
      </w:pPr>
      <w:r>
        <w:rPr>
          <w:rFonts w:ascii="Calibri" w:hAnsi="Calibri"/>
          <w:b/>
          <w:color w:val="334155"/>
          <w:sz w:val="22"/>
        </w:rPr>
        <w:t>5. `missed_items` Table</w:t>
      </w:r>
    </w:p>
    <w:p>
      <w:pPr>
        <w:spacing w:before="60" w:after="80" w:line="276" w:lineRule="auto"/>
      </w:pPr>
      <w:r>
        <w:rPr>
          <w:sz w:val="20"/>
        </w:rPr>
        <w:t>Core deficiency records tracking missed student requirements and submissions.</w:t>
      </w:r>
    </w:p>
    <w:tbl>
      <w:tblPr>
        <w:tblW w:type="auto" w:w="0"/>
        <w:jc w:val="center"/>
        <w:tblLook w:firstColumn="1" w:firstRow="1" w:lastColumn="0" w:lastRow="0" w:noHBand="0" w:noVBand="1" w:val="04A0"/>
      </w:tblPr>
      <w:tblGrid>
        <w:gridCol w:w="9648"/>
      </w:tblGrid>
      <w:tr>
        <w:tc>
          <w:tcPr>
            <w:tcW w:type="dxa" w:w="9360"/>
            <w:shd w:fill="0F172A"/>
            <w:tcMar>
              <w:top w:w="120" w:type="dxa"/>
              <w:bottom w:w="120" w:type="dxa"/>
              <w:left w:w="180" w:type="dxa"/>
              <w:right w:w="180" w:type="dxa"/>
            </w:tcMar>
            <w:tcBorders>
              <w:top w:val="single" w:sz="8" w:space="0" w:color="334155"/>
              <w:left w:val="single" w:sz="8" w:space="0" w:color="334155"/>
              <w:bottom w:val="single" w:sz="8" w:space="0" w:color="334155"/>
              <w:right w:val="single" w:sz="8" w:space="0" w:color="334155"/>
            </w:tcBorders>
          </w:tcPr>
          <w:p>
            <w:pPr>
              <w:spacing w:before="40" w:after="40" w:line="252" w:lineRule="auto"/>
            </w:pPr>
            <w:r>
              <w:rPr>
                <w:rFonts w:ascii="Consolas" w:hAnsi="Consolas"/>
                <w:color w:val="E2E8F0"/>
                <w:sz w:val="17"/>
              </w:rPr>
              <w:t>CREATE TABLE IF NOT EXISTS missed_items (</w:t>
              <w:br/>
              <w:t xml:space="preserve">    id              INT AUTO_INCREMENT PRIMARY KEY,</w:t>
              <w:br/>
              <w:t xml:space="preserve">    student_id      INT NOT NULL,</w:t>
              <w:br/>
              <w:t xml:space="preserve">    subject_id      INT NOT NULL,</w:t>
              <w:br/>
              <w:t xml:space="preserve">    item_type       VARCHAR(30) NOT NULL, -- 'ACTIVITY', 'QUIZ', 'EXAM', 'ASSIGNMENT'</w:t>
              <w:br/>
              <w:t xml:space="preserve">    item_name       VARCHAR(150) NOT NULL,</w:t>
              <w:br/>
              <w:t xml:space="preserve">    date_missed     VARCHAR(50) NOT NULL,</w:t>
              <w:br/>
              <w:t xml:space="preserve">    deadline        VARCHAR(50) DEFAULT NULL,</w:t>
              <w:br/>
              <w:t xml:space="preserve">    status          VARCHAR(30) DEFAULT 'PENDING', -- 'PENDING', 'SUBMITTED', 'GRADED'</w:t>
              <w:br/>
              <w:t xml:space="preserve">    notes           TEXT DEFAULT NULL,</w:t>
              <w:br/>
              <w:t xml:space="preserve">    created_by      INT DEFAULT NULL,</w:t>
              <w:br/>
              <w:t xml:space="preserve">    attachment_type VARCHAR(20) DEFAULT NULL,</w:t>
              <w:br/>
              <w:t xml:space="preserve">    attachment_name VARCHAR(255) DEFAULT NULL,</w:t>
              <w:br/>
              <w:t xml:space="preserve">    attachment_url  MEDIUMTEXT DEFAULT NULL,</w:t>
              <w:br/>
              <w:t xml:space="preserve">    created_at      TIMESTAMP DEFAULT CURRENT_TIMESTAMP,</w:t>
              <w:br/>
              <w:t xml:space="preserve">    FOREIGN KEY (student_id) REFERENCES users(id) ON DELETE CASCADE,</w:t>
              <w:br/>
              <w:t xml:space="preserve">    FOREIGN KEY (subject_id) REFERENCES subjects(id) ON DELETE CASCADE,</w:t>
              <w:br/>
              <w:t xml:space="preserve">    FOREIGN KEY (created_by) REFERENCES users(id) ON DELETE SET NULL</w:t>
              <w:br/>
              <w:t>) ENGINE=InnoDB;</w:t>
            </w:r>
          </w:p>
        </w:tc>
      </w:tr>
    </w:tbl>
    <w:p>
      <w:pPr>
        <w:spacing w:after="120"/>
      </w:pPr>
    </w:p>
    <w:p>
      <w:pPr>
        <w:keepNext/>
        <w:spacing w:before="160" w:after="60"/>
      </w:pPr>
      <w:r>
        <w:rPr>
          <w:rFonts w:ascii="Calibri" w:hAnsi="Calibri"/>
          <w:b/>
          <w:color w:val="334155"/>
          <w:sz w:val="22"/>
        </w:rPr>
        <w:t>6. `inbox_messages` Table</w:t>
      </w:r>
    </w:p>
    <w:p>
      <w:pPr>
        <w:spacing w:before="60" w:after="80" w:line="276" w:lineRule="auto"/>
      </w:pPr>
      <w:r>
        <w:rPr>
          <w:sz w:val="20"/>
        </w:rPr>
        <w:t>Internal notification and communication system.</w:t>
      </w:r>
    </w:p>
    <w:tbl>
      <w:tblPr>
        <w:tblW w:type="auto" w:w="0"/>
        <w:jc w:val="center"/>
        <w:tblLook w:firstColumn="1" w:firstRow="1" w:lastColumn="0" w:lastRow="0" w:noHBand="0" w:noVBand="1" w:val="04A0"/>
      </w:tblPr>
      <w:tblGrid>
        <w:gridCol w:w="9648"/>
      </w:tblGrid>
      <w:tr>
        <w:tc>
          <w:tcPr>
            <w:tcW w:type="dxa" w:w="9360"/>
            <w:shd w:fill="0F172A"/>
            <w:tcMar>
              <w:top w:w="120" w:type="dxa"/>
              <w:bottom w:w="120" w:type="dxa"/>
              <w:left w:w="180" w:type="dxa"/>
              <w:right w:w="180" w:type="dxa"/>
            </w:tcMar>
            <w:tcBorders>
              <w:top w:val="single" w:sz="8" w:space="0" w:color="334155"/>
              <w:left w:val="single" w:sz="8" w:space="0" w:color="334155"/>
              <w:bottom w:val="single" w:sz="8" w:space="0" w:color="334155"/>
              <w:right w:val="single" w:sz="8" w:space="0" w:color="334155"/>
            </w:tcBorders>
          </w:tcPr>
          <w:p>
            <w:pPr>
              <w:spacing w:before="40" w:after="40" w:line="252" w:lineRule="auto"/>
            </w:pPr>
            <w:r>
              <w:rPr>
                <w:rFonts w:ascii="Consolas" w:hAnsi="Consolas"/>
                <w:color w:val="E2E8F0"/>
                <w:sz w:val="17"/>
              </w:rPr>
              <w:t>CREATE TABLE IF NOT EXISTS inbox_messages (</w:t>
              <w:br/>
              <w:t xml:space="preserve">    id              INT AUTO_INCREMENT PRIMARY KEY,</w:t>
              <w:br/>
              <w:t xml:space="preserve">    sender_id       INT NOT NULL,</w:t>
              <w:br/>
              <w:t xml:space="preserve">    sender_name     VARCHAR(100) NOT NULL,</w:t>
              <w:br/>
              <w:t xml:space="preserve">    sender_role     VARCHAR(20) NOT NULL,</w:t>
              <w:br/>
              <w:t xml:space="preserve">    recipient_id    INT NOT NULL,</w:t>
              <w:br/>
              <w:t xml:space="preserve">    recipient_name  VARCHAR(100) NOT NULL,</w:t>
              <w:br/>
              <w:t xml:space="preserve">    title           VARCHAR(200) NOT NULL,</w:t>
              <w:br/>
              <w:t xml:space="preserve">    message         TEXT NOT NULL,</w:t>
              <w:br/>
              <w:t xml:space="preserve">    item_id         INT DEFAULT NULL,</w:t>
              <w:br/>
              <w:t xml:space="preserve">    item_name       VARCHAR(150) DEFAULT NULL,</w:t>
              <w:br/>
              <w:t xml:space="preserve">    subject_code    VARCHAR(50) DEFAULT NULL,</w:t>
              <w:br/>
              <w:t xml:space="preserve">    msg_type        VARCHAR(50) NOT NULL, -- 'NOTICE', 'SUBMISSION', 'GRADED', 'ENROLLMENT'</w:t>
              <w:br/>
              <w:t xml:space="preserve">    attachment_type VARCHAR(20) DEFAULT NULL,</w:t>
              <w:br/>
              <w:t xml:space="preserve">    attachment_name VARCHAR(255) DEFAULT NULL,</w:t>
              <w:br/>
              <w:t xml:space="preserve">    attachment_url  MEDIUMTEXT DEFAULT NULL,</w:t>
              <w:br/>
              <w:t xml:space="preserve">    is_read         TINYINT DEFAULT 0,</w:t>
              <w:br/>
              <w:t xml:space="preserve">    created_at      TIMESTAMP DEFAULT CURRENT_TIMESTAMP,</w:t>
              <w:br/>
              <w:t xml:space="preserve">    FOREIGN KEY (recipient_id) REFERENCES users(id) ON DELETE CASCADE</w:t>
              <w:br/>
              <w:t>) ENGINE=InnoDB;</w:t>
            </w:r>
          </w:p>
        </w:tc>
      </w:tr>
    </w:tbl>
    <w:p>
      <w:pPr>
        <w:spacing w:after="120"/>
      </w:pPr>
    </w:p>
    <w:p>
      <w:pPr>
        <w:keepNext/>
        <w:spacing w:before="160" w:after="60"/>
      </w:pPr>
      <w:r>
        <w:rPr>
          <w:rFonts w:ascii="Calibri" w:hAnsi="Calibri"/>
          <w:b/>
          <w:color w:val="334155"/>
          <w:sz w:val="22"/>
        </w:rPr>
        <w:t>7. `email_config` Table</w:t>
      </w:r>
    </w:p>
    <w:p>
      <w:pPr>
        <w:spacing w:before="60" w:after="80" w:line="276" w:lineRule="auto"/>
      </w:pPr>
      <w:r>
        <w:rPr>
          <w:sz w:val="20"/>
        </w:rPr>
        <w:t>Global configuration for SMTP credentials and 2FA toggles.</w:t>
      </w:r>
    </w:p>
    <w:tbl>
      <w:tblPr>
        <w:tblW w:type="auto" w:w="0"/>
        <w:jc w:val="center"/>
        <w:tblLook w:firstColumn="1" w:firstRow="1" w:lastColumn="0" w:lastRow="0" w:noHBand="0" w:noVBand="1" w:val="04A0"/>
      </w:tblPr>
      <w:tblGrid>
        <w:gridCol w:w="9648"/>
      </w:tblGrid>
      <w:tr>
        <w:tc>
          <w:tcPr>
            <w:tcW w:type="dxa" w:w="9360"/>
            <w:shd w:fill="0F172A"/>
            <w:tcMar>
              <w:top w:w="120" w:type="dxa"/>
              <w:bottom w:w="120" w:type="dxa"/>
              <w:left w:w="180" w:type="dxa"/>
              <w:right w:w="180" w:type="dxa"/>
            </w:tcMar>
            <w:tcBorders>
              <w:top w:val="single" w:sz="8" w:space="0" w:color="334155"/>
              <w:left w:val="single" w:sz="8" w:space="0" w:color="334155"/>
              <w:bottom w:val="single" w:sz="8" w:space="0" w:color="334155"/>
              <w:right w:val="single" w:sz="8" w:space="0" w:color="334155"/>
            </w:tcBorders>
          </w:tcPr>
          <w:p>
            <w:pPr>
              <w:spacing w:before="40" w:after="40" w:line="252" w:lineRule="auto"/>
            </w:pPr>
            <w:r>
              <w:rPr>
                <w:rFonts w:ascii="Consolas" w:hAnsi="Consolas"/>
                <w:color w:val="E2E8F0"/>
                <w:sz w:val="17"/>
              </w:rPr>
              <w:t>CREATE TABLE IF NOT EXISTS email_config (</w:t>
              <w:br/>
              <w:t xml:space="preserve">    id             INT PRIMARY KEY DEFAULT 1,</w:t>
              <w:br/>
              <w:t xml:space="preserve">    sender_email   VARCHAR(150) DEFAULT NULL,</w:t>
              <w:br/>
              <w:t xml:space="preserve">    app_password   VARCHAR(255) DEFAULT NULL,</w:t>
              <w:br/>
              <w:t xml:space="preserve">    api_key        VARCHAR(255) DEFAULT NULL,</w:t>
              <w:br/>
              <w:t xml:space="preserve">    is_2fa_enabled TINYINT DEFAULT 0,</w:t>
              <w:br/>
              <w:t xml:space="preserve">    updated_at     TIMESTAMP DEFAULT CURRENT_TIMESTAMP ON UPDATE CURRENT_TIMESTAMP</w:t>
              <w:br/>
              <w:t>) ENGINE=InnoDB;</w:t>
            </w:r>
          </w:p>
        </w:tc>
      </w:tr>
    </w:tbl>
    <w:p>
      <w:pPr>
        <w:spacing w:after="120"/>
      </w:pPr>
    </w:p>
    <w:p>
      <w:pPr>
        <w:keepNext/>
        <w:spacing w:before="160" w:after="60"/>
      </w:pPr>
      <w:r>
        <w:rPr>
          <w:rFonts w:ascii="Calibri" w:hAnsi="Calibri"/>
          <w:b/>
          <w:color w:val="334155"/>
          <w:sz w:val="22"/>
        </w:rPr>
        <w:t>8. `help_reports` Table</w:t>
      </w:r>
    </w:p>
    <w:p>
      <w:pPr>
        <w:spacing w:before="60" w:after="80" w:line="276" w:lineRule="auto"/>
      </w:pPr>
      <w:r>
        <w:rPr>
          <w:sz w:val="20"/>
        </w:rPr>
        <w:t>Helpdesk ticket audit table for reporting software issues to administrators.</w:t>
      </w:r>
    </w:p>
    <w:tbl>
      <w:tblPr>
        <w:tblW w:type="auto" w:w="0"/>
        <w:jc w:val="center"/>
        <w:tblLook w:firstColumn="1" w:firstRow="1" w:lastColumn="0" w:lastRow="0" w:noHBand="0" w:noVBand="1" w:val="04A0"/>
      </w:tblPr>
      <w:tblGrid>
        <w:gridCol w:w="9648"/>
      </w:tblGrid>
      <w:tr>
        <w:tc>
          <w:tcPr>
            <w:tcW w:type="dxa" w:w="9360"/>
            <w:shd w:fill="0F172A"/>
            <w:tcMar>
              <w:top w:w="120" w:type="dxa"/>
              <w:bottom w:w="120" w:type="dxa"/>
              <w:left w:w="180" w:type="dxa"/>
              <w:right w:w="180" w:type="dxa"/>
            </w:tcMar>
            <w:tcBorders>
              <w:top w:val="single" w:sz="8" w:space="0" w:color="334155"/>
              <w:left w:val="single" w:sz="8" w:space="0" w:color="334155"/>
              <w:bottom w:val="single" w:sz="8" w:space="0" w:color="334155"/>
              <w:right w:val="single" w:sz="8" w:space="0" w:color="334155"/>
            </w:tcBorders>
          </w:tcPr>
          <w:p>
            <w:pPr>
              <w:spacing w:before="40" w:after="40" w:line="252" w:lineRule="auto"/>
            </w:pPr>
            <w:r>
              <w:rPr>
                <w:rFonts w:ascii="Consolas" w:hAnsi="Consolas"/>
                <w:color w:val="E2E8F0"/>
                <w:sz w:val="17"/>
              </w:rPr>
              <w:t>CREATE TABLE IF NOT EXISTS help_reports (</w:t>
              <w:br/>
              <w:t xml:space="preserve">    id         INT AUTO_INCREMENT PRIMARY KEY,</w:t>
              <w:br/>
              <w:t xml:space="preserve">    user_id    INT NOT NULL,</w:t>
              <w:br/>
              <w:t xml:space="preserve">    user_name  VARCHAR(100) NOT NULL,</w:t>
              <w:br/>
              <w:t xml:space="preserve">    user_role  VARCHAR(20) NOT NULL,</w:t>
              <w:br/>
              <w:t xml:space="preserve">    title      VARCHAR(200) NOT NULL,</w:t>
              <w:br/>
              <w:t xml:space="preserve">    message    TEXT NOT NULL,</w:t>
              <w:br/>
              <w:t xml:space="preserve">    status     VARCHAR(20) DEFAULT 'OPEN',</w:t>
              <w:br/>
              <w:t xml:space="preserve">    created_at TIMESTAMP DEFAULT CURRENT_TIMESTAMP,</w:t>
              <w:br/>
              <w:t xml:space="preserve">    FOREIGN KEY (user_id) REFERENCES users(id) ON DELETE CASCADE</w:t>
              <w:br/>
              <w:t>) ENGINE=InnoDB;</w:t>
            </w:r>
          </w:p>
        </w:tc>
      </w:tr>
    </w:tbl>
    <w:p>
      <w:pPr>
        <w:spacing w:after="120"/>
      </w:pPr>
    </w:p>
    <w:p>
      <w:pPr>
        <w:keepNext/>
        <w:spacing w:before="200" w:after="80"/>
      </w:pPr>
      <w:r>
        <w:rPr>
          <w:rFonts w:ascii="Arial" w:hAnsi="Arial"/>
          <w:b/>
          <w:color w:val="475569"/>
          <w:sz w:val="24"/>
        </w:rPr>
        <w:t>6.2 Dedicated Curriculum Subjects</w:t>
      </w:r>
    </w:p>
    <w:p>
      <w:pPr>
        <w:spacing w:before="60" w:after="80" w:line="276" w:lineRule="auto"/>
      </w:pPr>
      <w:r>
        <w:rPr>
          <w:sz w:val="20"/>
        </w:rPr>
        <w:t>The database seeds 7 core academic subjects:</w:t>
      </w:r>
    </w:p>
    <w:p>
      <w:pPr>
        <w:spacing w:before="40" w:after="40" w:line="276" w:lineRule="auto"/>
        <w:ind w:left="360"/>
      </w:pPr>
      <w:r>
        <w:rPr>
          <w:b/>
        </w:rPr>
        <w:t xml:space="preserve">1. </w:t>
      </w:r>
      <w:r>
        <w:rPr>
          <w:sz w:val="20"/>
        </w:rPr>
      </w:r>
      <w:r>
        <w:rPr>
          <w:rFonts w:ascii="Consolas" w:hAnsi="Consolas"/>
          <w:sz w:val="20"/>
        </w:rPr>
        <w:t>PE</w:t>
      </w:r>
      <w:r>
        <w:rPr>
          <w:sz w:val="20"/>
        </w:rPr>
        <w:t xml:space="preserve"> — Physical Education</w:t>
      </w:r>
    </w:p>
    <w:p>
      <w:pPr>
        <w:spacing w:before="40" w:after="40" w:line="276" w:lineRule="auto"/>
        <w:ind w:left="360"/>
      </w:pPr>
      <w:r>
        <w:rPr>
          <w:b/>
        </w:rPr>
        <w:t xml:space="preserve">2. </w:t>
      </w:r>
      <w:r>
        <w:rPr>
          <w:sz w:val="20"/>
        </w:rPr>
      </w:r>
      <w:r>
        <w:rPr>
          <w:rFonts w:ascii="Consolas" w:hAnsi="Consolas"/>
          <w:sz w:val="20"/>
        </w:rPr>
        <w:t>RHET</w:t>
      </w:r>
      <w:r>
        <w:rPr>
          <w:sz w:val="20"/>
        </w:rPr>
        <w:t xml:space="preserve"> — Rhetoric</w:t>
      </w:r>
    </w:p>
    <w:p>
      <w:pPr>
        <w:spacing w:before="40" w:after="40" w:line="276" w:lineRule="auto"/>
        <w:ind w:left="360"/>
      </w:pPr>
      <w:r>
        <w:rPr>
          <w:b/>
        </w:rPr>
        <w:t xml:space="preserve">3. </w:t>
      </w:r>
      <w:r>
        <w:rPr>
          <w:sz w:val="20"/>
        </w:rPr>
      </w:r>
      <w:r>
        <w:rPr>
          <w:rFonts w:ascii="Consolas" w:hAnsi="Consolas"/>
          <w:sz w:val="20"/>
        </w:rPr>
        <w:t>CP</w:t>
      </w:r>
      <w:r>
        <w:rPr>
          <w:sz w:val="20"/>
        </w:rPr>
        <w:t xml:space="preserve"> — Computer Programming</w:t>
      </w:r>
    </w:p>
    <w:p>
      <w:pPr>
        <w:spacing w:before="40" w:after="40" w:line="276" w:lineRule="auto"/>
        <w:ind w:left="360"/>
      </w:pPr>
      <w:r>
        <w:rPr>
          <w:b/>
        </w:rPr>
        <w:t xml:space="preserve">4. </w:t>
      </w:r>
      <w:r>
        <w:rPr>
          <w:sz w:val="20"/>
        </w:rPr>
      </w:r>
      <w:r>
        <w:rPr>
          <w:rFonts w:ascii="Consolas" w:hAnsi="Consolas"/>
          <w:sz w:val="20"/>
        </w:rPr>
        <w:t>MTS</w:t>
      </w:r>
      <w:r>
        <w:rPr>
          <w:sz w:val="20"/>
        </w:rPr>
        <w:t xml:space="preserve"> — Mathematics, Technology and Science</w:t>
      </w:r>
    </w:p>
    <w:p>
      <w:pPr>
        <w:spacing w:before="40" w:after="40" w:line="276" w:lineRule="auto"/>
        <w:ind w:left="360"/>
      </w:pPr>
      <w:r>
        <w:rPr>
          <w:b/>
        </w:rPr>
        <w:t xml:space="preserve">5. </w:t>
      </w:r>
      <w:r>
        <w:rPr>
          <w:sz w:val="20"/>
        </w:rPr>
      </w:r>
      <w:r>
        <w:rPr>
          <w:rFonts w:ascii="Consolas" w:hAnsi="Consolas"/>
          <w:sz w:val="20"/>
        </w:rPr>
        <w:t>DSA</w:t>
      </w:r>
      <w:r>
        <w:rPr>
          <w:sz w:val="20"/>
        </w:rPr>
        <w:t xml:space="preserve"> — Data Structure and Algorithms</w:t>
      </w:r>
    </w:p>
    <w:p>
      <w:pPr>
        <w:spacing w:before="40" w:after="40" w:line="276" w:lineRule="auto"/>
        <w:ind w:left="360"/>
      </w:pPr>
      <w:r>
        <w:rPr>
          <w:b/>
        </w:rPr>
        <w:t xml:space="preserve">6. </w:t>
      </w:r>
      <w:r>
        <w:rPr>
          <w:sz w:val="20"/>
        </w:rPr>
      </w:r>
      <w:r>
        <w:rPr>
          <w:rFonts w:ascii="Consolas" w:hAnsi="Consolas"/>
          <w:sz w:val="20"/>
        </w:rPr>
        <w:t>RIZAL</w:t>
      </w:r>
      <w:r>
        <w:rPr>
          <w:sz w:val="20"/>
        </w:rPr>
        <w:t xml:space="preserve"> — Life and Works of Rizal</w:t>
      </w:r>
    </w:p>
    <w:p>
      <w:pPr>
        <w:spacing w:before="40" w:after="40" w:line="276" w:lineRule="auto"/>
        <w:ind w:left="360"/>
      </w:pPr>
      <w:r>
        <w:rPr>
          <w:b/>
        </w:rPr>
        <w:t xml:space="preserve">7. </w:t>
      </w:r>
      <w:r>
        <w:rPr>
          <w:sz w:val="20"/>
        </w:rPr>
      </w:r>
      <w:r>
        <w:rPr>
          <w:rFonts w:ascii="Consolas" w:hAnsi="Consolas"/>
          <w:sz w:val="20"/>
        </w:rPr>
        <w:t>IT-ERA</w:t>
      </w:r>
      <w:r>
        <w:rPr>
          <w:sz w:val="20"/>
        </w:rPr>
        <w:t xml:space="preserve"> — Living in the IT Era</w:t>
      </w:r>
    </w:p>
    <w:p>
      <w:pPr>
        <w:keepNext/>
        <w:spacing w:before="280" w:after="100"/>
      </w:pPr>
      <w:r>
        <w:rPr>
          <w:rFonts w:ascii="Arial" w:hAnsi="Arial"/>
          <w:b/>
          <w:color w:val="1E3A8A"/>
          <w:sz w:val="28"/>
        </w:rPr>
        <w:t>7. User Roles &amp; Functional Capabilities</w:t>
      </w:r>
    </w:p>
    <w:p>
      <w:pPr>
        <w:spacing w:before="60" w:after="80" w:line="276" w:lineRule="auto"/>
      </w:pPr>
      <w:r>
        <w:rPr>
          <w:sz w:val="20"/>
        </w:rPr>
        <w:t>AcadsCatchUp enforces strict Role-Based Access Control (RBAC):</w:t>
      </w:r>
    </w:p>
    <w:tbl>
      <w:tblPr>
        <w:tblW w:type="auto" w:w="0"/>
        <w:jc w:val="center"/>
        <w:tblLook w:firstColumn="1" w:firstRow="1" w:lastColumn="0" w:lastRow="0" w:noHBand="0" w:noVBand="1" w:val="04A0"/>
      </w:tblPr>
      <w:tblGrid>
        <w:gridCol w:w="9648"/>
      </w:tblGrid>
      <w:tr>
        <w:tc>
          <w:tcPr>
            <w:tcW w:type="dxa" w:w="9360"/>
            <w:shd w:fill="0F172A"/>
            <w:tcMar>
              <w:top w:w="120" w:type="dxa"/>
              <w:bottom w:w="120" w:type="dxa"/>
              <w:left w:w="180" w:type="dxa"/>
              <w:right w:w="180" w:type="dxa"/>
            </w:tcMar>
            <w:tcBorders>
              <w:top w:val="single" w:sz="8" w:space="0" w:color="334155"/>
              <w:left w:val="single" w:sz="8" w:space="0" w:color="334155"/>
              <w:bottom w:val="single" w:sz="8" w:space="0" w:color="334155"/>
              <w:right w:val="single" w:sz="8" w:space="0" w:color="334155"/>
            </w:tcBorders>
          </w:tcPr>
          <w:p>
            <w:pPr>
              <w:spacing w:before="40" w:after="40" w:line="252" w:lineRule="auto"/>
            </w:pPr>
            <w:r>
              <w:rPr>
                <w:rFonts w:ascii="Consolas" w:hAnsi="Consolas"/>
                <w:color w:val="E2E8F0"/>
                <w:sz w:val="17"/>
              </w:rPr>
              <w:t xml:space="preserve">                       ┌─────────────────────────┐</w:t>
              <w:br/>
              <w:t xml:space="preserve">                       │   ADMINISTRATOR (F4TAL) │</w:t>
              <w:br/>
              <w:t xml:space="preserve">                       │    Master System Owner  │</w:t>
              <w:br/>
              <w:t xml:space="preserve">                       └────────────┬────────────┘</w:t>
              <w:br/>
              <w:t xml:space="preserve">                                    │</w:t>
              <w:br/>
              <w:t xml:space="preserve">            ┌───────────────────────┴───────────────────────┐</w:t>
              <w:br/>
              <w:t xml:space="preserve">            │                                               │</w:t>
              <w:br/>
              <w:t xml:space="preserve">            ▼                                               ▼</w:t>
              <w:br/>
              <w:t>┌─────────────────────────┐                     ┌─────────────────────────┐</w:t>
              <w:br/>
              <w:t>│        PROFESSOR        │                     │         STUDENT         │</w:t>
              <w:br/>
              <w:t>│   Instruction &amp; Grading │                     │ Tracking &amp; Remediation  │</w:t>
              <w:br/>
              <w:t>└─────────────────────────┘                     └─────────────────────────┘</w:t>
            </w:r>
          </w:p>
        </w:tc>
      </w:tr>
    </w:tbl>
    <w:p>
      <w:pPr>
        <w:spacing w:after="120"/>
      </w:pPr>
    </w:p>
    <w:p>
      <w:pPr>
        <w:keepNext/>
        <w:spacing w:before="200" w:after="80"/>
      </w:pPr>
      <w:r>
        <w:rPr>
          <w:rFonts w:ascii="Arial" w:hAnsi="Arial"/>
          <w:b/>
          <w:color w:val="475569"/>
          <w:sz w:val="24"/>
        </w:rPr>
        <w:t>7.1 Student Capabilities</w:t>
      </w:r>
    </w:p>
    <w:p>
      <w:pPr>
        <w:pStyle w:val="ListBullet"/>
        <w:spacing w:before="20" w:after="40" w:line="276" w:lineRule="auto"/>
      </w:pPr>
      <w:r>
        <w:rPr>
          <w:sz w:val="20"/>
        </w:rPr>
      </w:r>
      <w:r>
        <w:rPr>
          <w:b/>
          <w:sz w:val="20"/>
        </w:rPr>
        <w:t>Deficiency Tracking:</w:t>
      </w:r>
      <w:r>
        <w:rPr>
          <w:sz w:val="20"/>
        </w:rPr>
        <w:t xml:space="preserve"> View all assigned make-up items with status indicators (Pending, Submitted, Graded, Overdue).</w:t>
      </w:r>
    </w:p>
    <w:p>
      <w:pPr>
        <w:pStyle w:val="ListBullet"/>
        <w:spacing w:before="20" w:after="40" w:line="276" w:lineRule="auto"/>
      </w:pPr>
      <w:r>
        <w:rPr>
          <w:sz w:val="20"/>
        </w:rPr>
      </w:r>
      <w:r>
        <w:rPr>
          <w:b/>
          <w:sz w:val="20"/>
        </w:rPr>
        <w:t>Remediation Submission:</w:t>
      </w:r>
      <w:r>
        <w:rPr>
          <w:sz w:val="20"/>
        </w:rPr>
        <w:t xml:space="preserve"> Submit make-up work directly to instructors attaching notes, external links, or local documents.</w:t>
      </w:r>
    </w:p>
    <w:p>
      <w:pPr>
        <w:pStyle w:val="ListBullet"/>
        <w:spacing w:before="20" w:after="40" w:line="276" w:lineRule="auto"/>
      </w:pPr>
      <w:r>
        <w:rPr>
          <w:sz w:val="20"/>
        </w:rPr>
      </w:r>
      <w:r>
        <w:rPr>
          <w:b/>
          <w:sz w:val="20"/>
        </w:rPr>
        <w:t>Enrolled Subjects:</w:t>
      </w:r>
      <w:r>
        <w:rPr>
          <w:sz w:val="20"/>
        </w:rPr>
        <w:t xml:space="preserve"> Inspect all courses in which the student is currently active.</w:t>
      </w:r>
    </w:p>
    <w:p>
      <w:pPr>
        <w:pStyle w:val="ListBullet"/>
        <w:spacing w:before="20" w:after="40" w:line="276" w:lineRule="auto"/>
      </w:pPr>
      <w:r>
        <w:rPr>
          <w:sz w:val="20"/>
        </w:rPr>
      </w:r>
      <w:r>
        <w:rPr>
          <w:b/>
          <w:sz w:val="20"/>
        </w:rPr>
        <w:t>Instant Search:</w:t>
      </w:r>
      <w:r>
        <w:rPr>
          <w:sz w:val="20"/>
        </w:rPr>
        <w:t xml:space="preserve"> Zero-latency client-side filtering across subjects, deficiency names, and dates.</w:t>
      </w:r>
    </w:p>
    <w:p>
      <w:pPr>
        <w:pStyle w:val="ListBullet"/>
        <w:spacing w:before="20" w:after="40" w:line="276" w:lineRule="auto"/>
      </w:pPr>
      <w:r>
        <w:rPr>
          <w:sz w:val="20"/>
        </w:rPr>
      </w:r>
      <w:r>
        <w:rPr>
          <w:b/>
          <w:sz w:val="20"/>
        </w:rPr>
        <w:t>CSV Export:</w:t>
      </w:r>
      <w:r>
        <w:rPr>
          <w:sz w:val="20"/>
        </w:rPr>
        <w:t xml:space="preserve"> Export personal deficiency checklist to CSV for offline logging.</w:t>
      </w:r>
    </w:p>
    <w:p>
      <w:pPr>
        <w:pStyle w:val="ListBullet"/>
        <w:spacing w:before="20" w:after="40" w:line="276" w:lineRule="auto"/>
      </w:pPr>
      <w:r>
        <w:rPr>
          <w:sz w:val="20"/>
        </w:rPr>
      </w:r>
      <w:r>
        <w:rPr>
          <w:b/>
          <w:sz w:val="20"/>
        </w:rPr>
        <w:t>In-App Messaging:</w:t>
      </w:r>
      <w:r>
        <w:rPr>
          <w:sz w:val="20"/>
        </w:rPr>
        <w:t xml:space="preserve"> Receive notifications for new deficiencies, graded submissions, and course enrollments.</w:t>
      </w:r>
    </w:p>
    <w:p>
      <w:pPr>
        <w:pStyle w:val="ListBullet"/>
        <w:spacing w:before="20" w:after="40" w:line="276" w:lineRule="auto"/>
      </w:pPr>
      <w:r>
        <w:rPr>
          <w:sz w:val="20"/>
        </w:rPr>
      </w:r>
      <w:r>
        <w:rPr>
          <w:b/>
          <w:sz w:val="20"/>
        </w:rPr>
        <w:t>Support Reports:</w:t>
      </w:r>
      <w:r>
        <w:rPr>
          <w:sz w:val="20"/>
        </w:rPr>
        <w:t xml:space="preserve"> Submit bug reports directly to the master administrator.</w:t>
      </w:r>
    </w:p>
    <w:p>
      <w:pPr>
        <w:keepNext/>
        <w:spacing w:before="200" w:after="80"/>
      </w:pPr>
      <w:r>
        <w:rPr>
          <w:rFonts w:ascii="Arial" w:hAnsi="Arial"/>
          <w:b/>
          <w:color w:val="475569"/>
          <w:sz w:val="24"/>
        </w:rPr>
        <w:t>7.2 Professor Capabilities</w:t>
      </w:r>
    </w:p>
    <w:p>
      <w:pPr>
        <w:pStyle w:val="ListBullet"/>
        <w:spacing w:before="20" w:after="40" w:line="276" w:lineRule="auto"/>
      </w:pPr>
      <w:r>
        <w:rPr>
          <w:sz w:val="20"/>
        </w:rPr>
      </w:r>
      <w:r>
        <w:rPr>
          <w:b/>
          <w:sz w:val="20"/>
        </w:rPr>
        <w:t>Scoped Dashboard:</w:t>
      </w:r>
      <w:r>
        <w:rPr>
          <w:sz w:val="20"/>
        </w:rPr>
        <w:t xml:space="preserve"> Manage deficiencies isolated to assigned subjects and teaching year levels.</w:t>
      </w:r>
    </w:p>
    <w:p>
      <w:pPr>
        <w:pStyle w:val="ListBullet"/>
        <w:spacing w:before="20" w:after="40" w:line="276" w:lineRule="auto"/>
      </w:pPr>
      <w:r>
        <w:rPr>
          <w:sz w:val="20"/>
        </w:rPr>
      </w:r>
      <w:r>
        <w:rPr>
          <w:b/>
          <w:sz w:val="20"/>
        </w:rPr>
        <w:t>Deficiency Authoring:</w:t>
      </w:r>
      <w:r>
        <w:rPr>
          <w:sz w:val="20"/>
        </w:rPr>
        <w:t xml:space="preserve"> Record new missed activities, quizzes, exams, and assignments for single or multiple students.</w:t>
      </w:r>
    </w:p>
    <w:p>
      <w:pPr>
        <w:pStyle w:val="ListBullet"/>
        <w:spacing w:before="20" w:after="40" w:line="276" w:lineRule="auto"/>
      </w:pPr>
      <w:r>
        <w:rPr>
          <w:sz w:val="20"/>
        </w:rPr>
      </w:r>
      <w:r>
        <w:rPr>
          <w:b/>
          <w:sz w:val="20"/>
        </w:rPr>
        <w:t>Batch Enrollment Modal:</w:t>
      </w:r>
      <w:r>
        <w:rPr>
          <w:sz w:val="20"/>
        </w:rPr>
        <w:t xml:space="preserve"> Self-service modal to enroll students into assigned courses via interactive search and checkboxes.</w:t>
      </w:r>
    </w:p>
    <w:p>
      <w:pPr>
        <w:pStyle w:val="ListBullet"/>
        <w:spacing w:before="20" w:after="40" w:line="276" w:lineRule="auto"/>
      </w:pPr>
      <w:r>
        <w:rPr>
          <w:sz w:val="20"/>
        </w:rPr>
      </w:r>
      <w:r>
        <w:rPr>
          <w:b/>
          <w:sz w:val="20"/>
        </w:rPr>
        <w:t>Review &amp; Grading:</w:t>
      </w:r>
      <w:r>
        <w:rPr>
          <w:sz w:val="20"/>
        </w:rPr>
        <w:t xml:space="preserve"> Inspect student remediation submissions, assign grades, and provide feedback.</w:t>
      </w:r>
    </w:p>
    <w:p>
      <w:pPr>
        <w:pStyle w:val="ListBullet"/>
        <w:spacing w:before="20" w:after="40" w:line="276" w:lineRule="auto"/>
      </w:pPr>
      <w:r>
        <w:rPr>
          <w:sz w:val="20"/>
        </w:rPr>
      </w:r>
      <w:r>
        <w:rPr>
          <w:b/>
          <w:sz w:val="20"/>
        </w:rPr>
        <w:t>Live Sync &amp; Alerts:</w:t>
      </w:r>
      <w:r>
        <w:rPr>
          <w:sz w:val="20"/>
        </w:rPr>
        <w:t xml:space="preserve"> Receive real-time alerts when students submit remediation work.</w:t>
      </w:r>
    </w:p>
    <w:p>
      <w:pPr>
        <w:pStyle w:val="ListBullet"/>
        <w:spacing w:before="20" w:after="40" w:line="276" w:lineRule="auto"/>
      </w:pPr>
      <w:r>
        <w:rPr>
          <w:sz w:val="20"/>
        </w:rPr>
      </w:r>
      <w:r>
        <w:rPr>
          <w:b/>
          <w:sz w:val="20"/>
        </w:rPr>
        <w:t>Data Export:</w:t>
      </w:r>
      <w:r>
        <w:rPr>
          <w:sz w:val="20"/>
        </w:rPr>
        <w:t xml:space="preserve"> Export section deficiencies and student rosters to CSV spreadsheets.</w:t>
      </w:r>
    </w:p>
    <w:p>
      <w:pPr>
        <w:keepNext/>
        <w:spacing w:before="200" w:after="80"/>
      </w:pPr>
      <w:r>
        <w:rPr>
          <w:rFonts w:ascii="Arial" w:hAnsi="Arial"/>
          <w:b/>
          <w:color w:val="475569"/>
          <w:sz w:val="24"/>
        </w:rPr>
        <w:t>7.3 Administrator Capabilities (F4TAL)</w:t>
      </w:r>
    </w:p>
    <w:p>
      <w:pPr>
        <w:pStyle w:val="ListBullet"/>
        <w:spacing w:before="20" w:after="40" w:line="276" w:lineRule="auto"/>
      </w:pPr>
      <w:r>
        <w:rPr>
          <w:sz w:val="20"/>
        </w:rPr>
      </w:r>
      <w:r>
        <w:rPr>
          <w:b/>
          <w:sz w:val="20"/>
        </w:rPr>
        <w:t>User Account Management:</w:t>
      </w:r>
      <w:r>
        <w:rPr>
          <w:sz w:val="20"/>
        </w:rPr>
        <w:t xml:space="preserve"> Provision, edit, verify, or remove Admin, Professor, and Student accounts.</w:t>
      </w:r>
    </w:p>
    <w:p>
      <w:pPr>
        <w:pStyle w:val="ListBullet"/>
        <w:spacing w:before="20" w:after="40" w:line="276" w:lineRule="auto"/>
      </w:pPr>
      <w:r>
        <w:rPr>
          <w:sz w:val="20"/>
        </w:rPr>
      </w:r>
      <w:r>
        <w:rPr>
          <w:b/>
          <w:sz w:val="20"/>
        </w:rPr>
        <w:t>Curriculum Assignment:</w:t>
      </w:r>
      <w:r>
        <w:rPr>
          <w:sz w:val="20"/>
        </w:rPr>
        <w:t xml:space="preserve"> Assign single or multiple curriculum subjects and year levels to faculty members.</w:t>
      </w:r>
    </w:p>
    <w:p>
      <w:pPr>
        <w:pStyle w:val="ListBullet"/>
        <w:spacing w:before="20" w:after="40" w:line="276" w:lineRule="auto"/>
      </w:pPr>
      <w:r>
        <w:rPr>
          <w:sz w:val="20"/>
        </w:rPr>
      </w:r>
      <w:r>
        <w:rPr>
          <w:b/>
          <w:sz w:val="20"/>
        </w:rPr>
        <w:t>Subject Catalog Management:</w:t>
      </w:r>
      <w:r>
        <w:rPr>
          <w:sz w:val="20"/>
        </w:rPr>
        <w:t xml:space="preserve"> Add, edit, or delete institutional course offerings.</w:t>
      </w:r>
    </w:p>
    <w:p>
      <w:pPr>
        <w:pStyle w:val="ListBullet"/>
        <w:spacing w:before="20" w:after="40" w:line="276" w:lineRule="auto"/>
      </w:pPr>
      <w:r>
        <w:rPr>
          <w:sz w:val="20"/>
        </w:rPr>
      </w:r>
      <w:r>
        <w:rPr>
          <w:b/>
          <w:sz w:val="20"/>
        </w:rPr>
        <w:t>Helpdesk Ticket Resolution:</w:t>
      </w:r>
      <w:r>
        <w:rPr>
          <w:sz w:val="20"/>
        </w:rPr>
        <w:t xml:space="preserve"> Audit student and faculty bug reports and send administrative replies.</w:t>
      </w:r>
    </w:p>
    <w:p>
      <w:pPr>
        <w:pStyle w:val="ListBullet"/>
        <w:spacing w:before="20" w:after="40" w:line="276" w:lineRule="auto"/>
      </w:pPr>
      <w:r>
        <w:rPr>
          <w:sz w:val="20"/>
        </w:rPr>
      </w:r>
      <w:r>
        <w:rPr>
          <w:b/>
          <w:sz w:val="20"/>
        </w:rPr>
        <w:t>Global Security &amp; SMTP Configuration:</w:t>
      </w:r>
      <w:r>
        <w:rPr>
          <w:sz w:val="20"/>
        </w:rPr>
        <w:t xml:space="preserve"> Manage SMTP email credentials, Brevo API keys, and toggle campus-wide 2FA requirements.</w:t>
      </w:r>
    </w:p>
    <w:p>
      <w:pPr>
        <w:pStyle w:val="ListBullet"/>
        <w:spacing w:before="20" w:after="40" w:line="276" w:lineRule="auto"/>
      </w:pPr>
      <w:r>
        <w:rPr>
          <w:sz w:val="20"/>
        </w:rPr>
      </w:r>
      <w:r>
        <w:rPr>
          <w:b/>
          <w:sz w:val="20"/>
        </w:rPr>
        <w:t>Full Database Auditing:</w:t>
      </w:r>
      <w:r>
        <w:rPr>
          <w:sz w:val="20"/>
        </w:rPr>
        <w:t xml:space="preserve"> Authority over all records with cascade deletion safeguards.</w:t>
      </w:r>
    </w:p>
    <w:p>
      <w:pPr>
        <w:keepNext/>
        <w:spacing w:before="280" w:after="100"/>
      </w:pPr>
      <w:r>
        <w:rPr>
          <w:rFonts w:ascii="Arial" w:hAnsi="Arial"/>
          <w:b/>
          <w:color w:val="1E3A8A"/>
          <w:sz w:val="28"/>
        </w:rPr>
        <w:t>8. UI/UX Design System &amp; Theme Specifications</w:t>
      </w:r>
    </w:p>
    <w:p>
      <w:pPr>
        <w:spacing w:before="60" w:after="80" w:line="276" w:lineRule="auto"/>
      </w:pPr>
      <w:r>
        <w:rPr>
          <w:sz w:val="20"/>
        </w:rPr>
        <w:t>AcadsCatchUp uses an enterprise dark-theme palette designed for reduced eye strain during long academic sessions:</w:t>
      </w:r>
    </w:p>
    <w:p>
      <w:pPr>
        <w:keepNext/>
        <w:spacing w:before="200" w:after="80"/>
      </w:pPr>
      <w:r>
        <w:rPr>
          <w:rFonts w:ascii="Arial" w:hAnsi="Arial"/>
          <w:b/>
          <w:color w:val="475569"/>
          <w:sz w:val="24"/>
        </w:rPr>
        <w:t>8.1 Color Tokens &amp; Design Palette</w:t>
      </w:r>
    </w:p>
    <w:tbl>
      <w:tblPr>
        <w:tblW w:type="auto" w:w="0"/>
        <w:jc w:val="center"/>
        <w:tblLayout w:type="autofit"/>
        <w:tblLook w:firstColumn="1" w:firstRow="1" w:lastColumn="0" w:lastRow="0" w:noHBand="0" w:noVBand="1" w:val="04A0"/>
      </w:tblPr>
      <w:tblGrid>
        <w:gridCol w:w="3216"/>
        <w:gridCol w:w="3216"/>
        <w:gridCol w:w="3216"/>
      </w:tblGrid>
      <w:tr>
        <w:tc>
          <w:tcPr>
            <w:tcW w:type="dxa" w:w="3216"/>
            <w:tcMar>
              <w:top w:w="120" w:type="dxa"/>
              <w:bottom w:w="120" w:type="dxa"/>
              <w:left w:w="140" w:type="dxa"/>
              <w:right w:w="140" w:type="dxa"/>
            </w:tcMar>
            <w:shd w:fill="1E293B"/>
            <w:tcBorders>
              <w:top w:val="single" w:sz="6" w:space="0" w:color="0F172A"/>
              <w:left w:val="single" w:sz="4" w:space="0" w:color="334155"/>
              <w:bottom w:val="single" w:sz="6" w:space="0" w:color="0F172A"/>
              <w:right w:val="single" w:sz="4" w:space="0" w:color="334155"/>
            </w:tcBorders>
          </w:tcPr>
          <w:p>
            <w:pPr>
              <w:spacing w:before="40" w:after="40" w:line="276" w:lineRule="auto"/>
            </w:pPr>
            <w:r>
              <w:rPr>
                <w:b/>
                <w:color w:val="F8FAFC"/>
                <w:sz w:val="19"/>
              </w:rPr>
              <w:t>Token Name</w:t>
            </w:r>
          </w:p>
        </w:tc>
        <w:tc>
          <w:tcPr>
            <w:tcW w:type="dxa" w:w="3216"/>
            <w:tcMar>
              <w:top w:w="120" w:type="dxa"/>
              <w:bottom w:w="120" w:type="dxa"/>
              <w:left w:w="140" w:type="dxa"/>
              <w:right w:w="140" w:type="dxa"/>
            </w:tcMar>
            <w:shd w:fill="1E293B"/>
            <w:tcBorders>
              <w:top w:val="single" w:sz="6" w:space="0" w:color="0F172A"/>
              <w:left w:val="single" w:sz="4" w:space="0" w:color="334155"/>
              <w:bottom w:val="single" w:sz="6" w:space="0" w:color="0F172A"/>
              <w:right w:val="single" w:sz="4" w:space="0" w:color="334155"/>
            </w:tcBorders>
          </w:tcPr>
          <w:p>
            <w:pPr>
              <w:spacing w:before="40" w:after="40" w:line="276" w:lineRule="auto"/>
            </w:pPr>
            <w:r>
              <w:rPr>
                <w:b/>
                <w:color w:val="F8FAFC"/>
                <w:sz w:val="19"/>
              </w:rPr>
              <w:t>Hex Code / Value</w:t>
            </w:r>
          </w:p>
        </w:tc>
        <w:tc>
          <w:tcPr>
            <w:tcW w:type="dxa" w:w="3216"/>
            <w:tcMar>
              <w:top w:w="120" w:type="dxa"/>
              <w:bottom w:w="120" w:type="dxa"/>
              <w:left w:w="140" w:type="dxa"/>
              <w:right w:w="140" w:type="dxa"/>
            </w:tcMar>
            <w:shd w:fill="1E293B"/>
            <w:tcBorders>
              <w:top w:val="single" w:sz="6" w:space="0" w:color="0F172A"/>
              <w:left w:val="single" w:sz="4" w:space="0" w:color="334155"/>
              <w:bottom w:val="single" w:sz="6" w:space="0" w:color="0F172A"/>
              <w:right w:val="single" w:sz="4" w:space="0" w:color="334155"/>
            </w:tcBorders>
          </w:tcPr>
          <w:p>
            <w:pPr>
              <w:spacing w:before="40" w:after="40" w:line="276" w:lineRule="auto"/>
            </w:pPr>
            <w:r>
              <w:rPr>
                <w:b/>
                <w:color w:val="F8FAFC"/>
                <w:sz w:val="19"/>
              </w:rPr>
              <w:t>Usage &amp; Visual Role</w:t>
            </w:r>
          </w:p>
        </w:tc>
      </w:tr>
      <w:tr>
        <w:tc>
          <w:tcPr>
            <w:tcW w:type="dxa" w:w="3216"/>
            <w:tcMar>
              <w:top w:w="120" w:type="dxa"/>
              <w:bottom w:w="120" w:type="dxa"/>
              <w:left w:w="140" w:type="dxa"/>
              <w:right w:w="14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color w:val="1E293B"/>
                <w:sz w:val="18"/>
              </w:rPr>
            </w:r>
            <w:r>
              <w:rPr>
                <w:b/>
                <w:color w:val="1E293B"/>
                <w:sz w:val="18"/>
              </w:rPr>
              <w:t>Canvas Base</w:t>
            </w:r>
            <w:r>
              <w:rPr>
                <w:color w:val="1E293B"/>
                <w:sz w:val="18"/>
              </w:rPr>
            </w:r>
          </w:p>
        </w:tc>
        <w:tc>
          <w:tcPr>
            <w:tcW w:type="dxa" w:w="3216"/>
            <w:tcMar>
              <w:top w:w="120" w:type="dxa"/>
              <w:bottom w:w="120" w:type="dxa"/>
              <w:left w:w="140" w:type="dxa"/>
              <w:right w:w="14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color w:val="1E293B"/>
                <w:sz w:val="18"/>
              </w:rPr>
              <w:t>#0f1117</w:t>
            </w:r>
          </w:p>
        </w:tc>
        <w:tc>
          <w:tcPr>
            <w:tcW w:type="dxa" w:w="3216"/>
            <w:tcMar>
              <w:top w:w="120" w:type="dxa"/>
              <w:bottom w:w="120" w:type="dxa"/>
              <w:left w:w="140" w:type="dxa"/>
              <w:right w:w="14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color w:val="1E293B"/>
                <w:sz w:val="18"/>
              </w:rPr>
              <w:t>Root window backdrop and main application frame.</w:t>
            </w:r>
          </w:p>
        </w:tc>
      </w:tr>
      <w:tr>
        <w:tc>
          <w:tcPr>
            <w:tcW w:type="dxa" w:w="3216"/>
            <w:tcMar>
              <w:top w:w="120" w:type="dxa"/>
              <w:bottom w:w="12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color w:val="1E293B"/>
                <w:sz w:val="18"/>
              </w:rPr>
            </w:r>
            <w:r>
              <w:rPr>
                <w:b/>
                <w:color w:val="1E293B"/>
                <w:sz w:val="18"/>
              </w:rPr>
              <w:t>Card / Panel</w:t>
            </w:r>
            <w:r>
              <w:rPr>
                <w:color w:val="1E293B"/>
                <w:sz w:val="18"/>
              </w:rPr>
            </w:r>
          </w:p>
        </w:tc>
        <w:tc>
          <w:tcPr>
            <w:tcW w:type="dxa" w:w="3216"/>
            <w:tcMar>
              <w:top w:w="120" w:type="dxa"/>
              <w:bottom w:w="12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color w:val="1E293B"/>
                <w:sz w:val="18"/>
              </w:rPr>
              <w:t>#151825</w:t>
            </w:r>
          </w:p>
        </w:tc>
        <w:tc>
          <w:tcPr>
            <w:tcW w:type="dxa" w:w="3216"/>
            <w:tcMar>
              <w:top w:w="120" w:type="dxa"/>
              <w:bottom w:w="12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color w:val="1E293B"/>
                <w:sz w:val="18"/>
              </w:rPr>
              <w:t>Sidebar, navigation headers, stat cards, and modal containers.</w:t>
            </w:r>
          </w:p>
        </w:tc>
      </w:tr>
      <w:tr>
        <w:tc>
          <w:tcPr>
            <w:tcW w:type="dxa" w:w="3216"/>
            <w:tcMar>
              <w:top w:w="120" w:type="dxa"/>
              <w:bottom w:w="120" w:type="dxa"/>
              <w:left w:w="140" w:type="dxa"/>
              <w:right w:w="14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color w:val="1E293B"/>
                <w:sz w:val="18"/>
              </w:rPr>
            </w:r>
            <w:r>
              <w:rPr>
                <w:b/>
                <w:color w:val="1E293B"/>
                <w:sz w:val="18"/>
              </w:rPr>
              <w:t>Elevated Surface</w:t>
            </w:r>
            <w:r>
              <w:rPr>
                <w:color w:val="1E293B"/>
                <w:sz w:val="18"/>
              </w:rPr>
            </w:r>
          </w:p>
        </w:tc>
        <w:tc>
          <w:tcPr>
            <w:tcW w:type="dxa" w:w="3216"/>
            <w:tcMar>
              <w:top w:w="120" w:type="dxa"/>
              <w:bottom w:w="120" w:type="dxa"/>
              <w:left w:w="140" w:type="dxa"/>
              <w:right w:w="14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color w:val="1E293B"/>
                <w:sz w:val="18"/>
              </w:rPr>
              <w:t>#1a1d2e</w:t>
            </w:r>
          </w:p>
        </w:tc>
        <w:tc>
          <w:tcPr>
            <w:tcW w:type="dxa" w:w="3216"/>
            <w:tcMar>
              <w:top w:w="120" w:type="dxa"/>
              <w:bottom w:w="120" w:type="dxa"/>
              <w:left w:w="140" w:type="dxa"/>
              <w:right w:w="14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color w:val="1E293B"/>
                <w:sz w:val="18"/>
              </w:rPr>
              <w:t>Dialog root surfaces, table rows, and input wrappers.</w:t>
            </w:r>
          </w:p>
        </w:tc>
      </w:tr>
      <w:tr>
        <w:tc>
          <w:tcPr>
            <w:tcW w:type="dxa" w:w="3216"/>
            <w:tcMar>
              <w:top w:w="120" w:type="dxa"/>
              <w:bottom w:w="12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color w:val="1E293B"/>
                <w:sz w:val="18"/>
              </w:rPr>
            </w:r>
            <w:r>
              <w:rPr>
                <w:b/>
                <w:color w:val="1E293B"/>
                <w:sz w:val="18"/>
              </w:rPr>
              <w:t>Border Stroke</w:t>
            </w:r>
            <w:r>
              <w:rPr>
                <w:color w:val="1E293B"/>
                <w:sz w:val="18"/>
              </w:rPr>
            </w:r>
          </w:p>
        </w:tc>
        <w:tc>
          <w:tcPr>
            <w:tcW w:type="dxa" w:w="3216"/>
            <w:tcMar>
              <w:top w:w="120" w:type="dxa"/>
              <w:bottom w:w="12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color w:val="1E293B"/>
                <w:sz w:val="18"/>
              </w:rPr>
              <w:t>#2d3255</w:t>
            </w:r>
          </w:p>
        </w:tc>
        <w:tc>
          <w:tcPr>
            <w:tcW w:type="dxa" w:w="3216"/>
            <w:tcMar>
              <w:top w:w="120" w:type="dxa"/>
              <w:bottom w:w="12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color w:val="1E293B"/>
                <w:sz w:val="18"/>
              </w:rPr>
              <w:t>Subtle high-contrast dividers, borders, and modal outlines.</w:t>
            </w:r>
          </w:p>
        </w:tc>
      </w:tr>
      <w:tr>
        <w:tc>
          <w:tcPr>
            <w:tcW w:type="dxa" w:w="3216"/>
            <w:tcMar>
              <w:top w:w="120" w:type="dxa"/>
              <w:bottom w:w="120" w:type="dxa"/>
              <w:left w:w="140" w:type="dxa"/>
              <w:right w:w="14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color w:val="1E293B"/>
                <w:sz w:val="18"/>
              </w:rPr>
            </w:r>
            <w:r>
              <w:rPr>
                <w:b/>
                <w:color w:val="1E293B"/>
                <w:sz w:val="18"/>
              </w:rPr>
              <w:t>Accent Primary</w:t>
            </w:r>
            <w:r>
              <w:rPr>
                <w:color w:val="1E293B"/>
                <w:sz w:val="18"/>
              </w:rPr>
            </w:r>
          </w:p>
        </w:tc>
        <w:tc>
          <w:tcPr>
            <w:tcW w:type="dxa" w:w="3216"/>
            <w:tcMar>
              <w:top w:w="120" w:type="dxa"/>
              <w:bottom w:w="120" w:type="dxa"/>
              <w:left w:w="140" w:type="dxa"/>
              <w:right w:w="14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color w:val="1E293B"/>
                <w:sz w:val="18"/>
              </w:rPr>
              <w:t>#5865f2</w:t>
            </w:r>
          </w:p>
        </w:tc>
        <w:tc>
          <w:tcPr>
            <w:tcW w:type="dxa" w:w="3216"/>
            <w:tcMar>
              <w:top w:w="120" w:type="dxa"/>
              <w:bottom w:w="120" w:type="dxa"/>
              <w:left w:w="140" w:type="dxa"/>
              <w:right w:w="14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color w:val="1E293B"/>
                <w:sz w:val="18"/>
              </w:rPr>
              <w:t>Blurple primary buttons, active tabs, and progress indicators.</w:t>
            </w:r>
          </w:p>
        </w:tc>
      </w:tr>
      <w:tr>
        <w:tc>
          <w:tcPr>
            <w:tcW w:type="dxa" w:w="3216"/>
            <w:tcMar>
              <w:top w:w="120" w:type="dxa"/>
              <w:bottom w:w="12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color w:val="1E293B"/>
                <w:sz w:val="18"/>
              </w:rPr>
            </w:r>
            <w:r>
              <w:rPr>
                <w:b/>
                <w:color w:val="1E293B"/>
                <w:sz w:val="18"/>
              </w:rPr>
              <w:t>Status Emerald</w:t>
            </w:r>
            <w:r>
              <w:rPr>
                <w:color w:val="1E293B"/>
                <w:sz w:val="18"/>
              </w:rPr>
            </w:r>
          </w:p>
        </w:tc>
        <w:tc>
          <w:tcPr>
            <w:tcW w:type="dxa" w:w="3216"/>
            <w:tcMar>
              <w:top w:w="120" w:type="dxa"/>
              <w:bottom w:w="12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color w:val="1E293B"/>
                <w:sz w:val="18"/>
              </w:rPr>
              <w:t>#10b981</w:t>
            </w:r>
          </w:p>
        </w:tc>
        <w:tc>
          <w:tcPr>
            <w:tcW w:type="dxa" w:w="3216"/>
            <w:tcMar>
              <w:top w:w="120" w:type="dxa"/>
              <w:bottom w:w="12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color w:val="1E293B"/>
                <w:sz w:val="18"/>
              </w:rPr>
              <w:t>"GRADED" badge, "Live Sync" indicator, and success toasts.</w:t>
            </w:r>
          </w:p>
        </w:tc>
      </w:tr>
      <w:tr>
        <w:tc>
          <w:tcPr>
            <w:tcW w:type="dxa" w:w="3216"/>
            <w:tcMar>
              <w:top w:w="120" w:type="dxa"/>
              <w:bottom w:w="120" w:type="dxa"/>
              <w:left w:w="140" w:type="dxa"/>
              <w:right w:w="14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color w:val="1E293B"/>
                <w:sz w:val="18"/>
              </w:rPr>
            </w:r>
            <w:r>
              <w:rPr>
                <w:b/>
                <w:color w:val="1E293B"/>
                <w:sz w:val="18"/>
              </w:rPr>
              <w:t>Status Amber</w:t>
            </w:r>
            <w:r>
              <w:rPr>
                <w:color w:val="1E293B"/>
                <w:sz w:val="18"/>
              </w:rPr>
            </w:r>
          </w:p>
        </w:tc>
        <w:tc>
          <w:tcPr>
            <w:tcW w:type="dxa" w:w="3216"/>
            <w:tcMar>
              <w:top w:w="120" w:type="dxa"/>
              <w:bottom w:w="120" w:type="dxa"/>
              <w:left w:w="140" w:type="dxa"/>
              <w:right w:w="14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color w:val="1E293B"/>
                <w:sz w:val="18"/>
              </w:rPr>
              <w:t>#f59e0b</w:t>
            </w:r>
          </w:p>
        </w:tc>
        <w:tc>
          <w:tcPr>
            <w:tcW w:type="dxa" w:w="3216"/>
            <w:tcMar>
              <w:top w:w="120" w:type="dxa"/>
              <w:bottom w:w="120" w:type="dxa"/>
              <w:left w:w="140" w:type="dxa"/>
              <w:right w:w="14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color w:val="1E293B"/>
                <w:sz w:val="18"/>
              </w:rPr>
              <w:t>"SUBMITTED" badge, "Reconnecting..." indicator, and warnings.</w:t>
            </w:r>
          </w:p>
        </w:tc>
      </w:tr>
      <w:tr>
        <w:tc>
          <w:tcPr>
            <w:tcW w:type="dxa" w:w="3216"/>
            <w:tcMar>
              <w:top w:w="120" w:type="dxa"/>
              <w:bottom w:w="12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color w:val="1E293B"/>
                <w:sz w:val="18"/>
              </w:rPr>
            </w:r>
            <w:r>
              <w:rPr>
                <w:b/>
                <w:color w:val="1E293B"/>
                <w:sz w:val="18"/>
              </w:rPr>
              <w:t>Status Crimson</w:t>
            </w:r>
            <w:r>
              <w:rPr>
                <w:color w:val="1E293B"/>
                <w:sz w:val="18"/>
              </w:rPr>
            </w:r>
          </w:p>
        </w:tc>
        <w:tc>
          <w:tcPr>
            <w:tcW w:type="dxa" w:w="3216"/>
            <w:tcMar>
              <w:top w:w="120" w:type="dxa"/>
              <w:bottom w:w="12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color w:val="1E293B"/>
                <w:sz w:val="18"/>
              </w:rPr>
              <w:t>#ef4444</w:t>
            </w:r>
          </w:p>
        </w:tc>
        <w:tc>
          <w:tcPr>
            <w:tcW w:type="dxa" w:w="3216"/>
            <w:tcMar>
              <w:top w:w="120" w:type="dxa"/>
              <w:bottom w:w="12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color w:val="1E293B"/>
                <w:sz w:val="18"/>
              </w:rPr>
              <w:t>"PENDING" / "OVERDUE" badge, "Offline" indicator, and errors.</w:t>
            </w:r>
          </w:p>
        </w:tc>
      </w:tr>
      <w:tr>
        <w:tc>
          <w:tcPr>
            <w:tcW w:type="dxa" w:w="3216"/>
            <w:tcMar>
              <w:top w:w="120" w:type="dxa"/>
              <w:bottom w:w="120" w:type="dxa"/>
              <w:left w:w="140" w:type="dxa"/>
              <w:right w:w="14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color w:val="1E293B"/>
                <w:sz w:val="18"/>
              </w:rPr>
            </w:r>
            <w:r>
              <w:rPr>
                <w:b/>
                <w:color w:val="1E293B"/>
                <w:sz w:val="18"/>
              </w:rPr>
              <w:t>Text Primary</w:t>
            </w:r>
            <w:r>
              <w:rPr>
                <w:color w:val="1E293B"/>
                <w:sz w:val="18"/>
              </w:rPr>
            </w:r>
          </w:p>
        </w:tc>
        <w:tc>
          <w:tcPr>
            <w:tcW w:type="dxa" w:w="3216"/>
            <w:tcMar>
              <w:top w:w="120" w:type="dxa"/>
              <w:bottom w:w="120" w:type="dxa"/>
              <w:left w:w="140" w:type="dxa"/>
              <w:right w:w="14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color w:val="1E293B"/>
                <w:sz w:val="18"/>
              </w:rPr>
              <w:t>#f8fafc</w:t>
            </w:r>
          </w:p>
        </w:tc>
        <w:tc>
          <w:tcPr>
            <w:tcW w:type="dxa" w:w="3216"/>
            <w:tcMar>
              <w:top w:w="120" w:type="dxa"/>
              <w:bottom w:w="120" w:type="dxa"/>
              <w:left w:w="140" w:type="dxa"/>
              <w:right w:w="14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color w:val="1E293B"/>
                <w:sz w:val="18"/>
              </w:rPr>
              <w:t>High-emphasis headings, titles, and table text.</w:t>
            </w:r>
          </w:p>
        </w:tc>
      </w:tr>
      <w:tr>
        <w:tc>
          <w:tcPr>
            <w:tcW w:type="dxa" w:w="3216"/>
            <w:tcMar>
              <w:top w:w="120" w:type="dxa"/>
              <w:bottom w:w="12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color w:val="1E293B"/>
                <w:sz w:val="18"/>
              </w:rPr>
            </w:r>
            <w:r>
              <w:rPr>
                <w:b/>
                <w:color w:val="1E293B"/>
                <w:sz w:val="18"/>
              </w:rPr>
              <w:t>Text Secondary</w:t>
            </w:r>
            <w:r>
              <w:rPr>
                <w:color w:val="1E293B"/>
                <w:sz w:val="18"/>
              </w:rPr>
            </w:r>
          </w:p>
        </w:tc>
        <w:tc>
          <w:tcPr>
            <w:tcW w:type="dxa" w:w="3216"/>
            <w:tcMar>
              <w:top w:w="120" w:type="dxa"/>
              <w:bottom w:w="12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color w:val="1E293B"/>
                <w:sz w:val="18"/>
              </w:rPr>
              <w:t>#94a3b8</w:t>
            </w:r>
          </w:p>
        </w:tc>
        <w:tc>
          <w:tcPr>
            <w:tcW w:type="dxa" w:w="3216"/>
            <w:tcMar>
              <w:top w:w="120" w:type="dxa"/>
              <w:bottom w:w="12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color w:val="1E293B"/>
                <w:sz w:val="18"/>
              </w:rPr>
              <w:t>Subtitles, field labels, metadata timestamps, and hints.</w:t>
            </w:r>
          </w:p>
        </w:tc>
      </w:tr>
    </w:tbl>
    <w:p>
      <w:pPr>
        <w:spacing w:after="120"/>
      </w:pPr>
    </w:p>
    <w:p>
      <w:pPr>
        <w:keepNext/>
        <w:spacing w:before="200" w:after="80"/>
      </w:pPr>
      <w:r>
        <w:rPr>
          <w:rFonts w:ascii="Arial" w:hAnsi="Arial"/>
          <w:b/>
          <w:color w:val="475569"/>
          <w:sz w:val="24"/>
        </w:rPr>
        <w:t>8.2 Typography &amp; Styling Elements</w:t>
      </w:r>
    </w:p>
    <w:p>
      <w:pPr>
        <w:pStyle w:val="ListBullet"/>
        <w:spacing w:before="20" w:after="40" w:line="276" w:lineRule="auto"/>
      </w:pPr>
      <w:r>
        <w:rPr>
          <w:sz w:val="20"/>
        </w:rPr>
      </w:r>
      <w:r>
        <w:rPr>
          <w:b/>
          <w:sz w:val="20"/>
        </w:rPr>
        <w:t>Font Stack:</w:t>
      </w:r>
      <w:r>
        <w:rPr>
          <w:sz w:val="20"/>
        </w:rPr>
        <w:t xml:space="preserve"> </w:t>
      </w:r>
      <w:r>
        <w:rPr>
          <w:rFonts w:ascii="Consolas" w:hAnsi="Consolas"/>
          <w:sz w:val="20"/>
        </w:rPr>
        <w:t>'Segoe UI', -apple-system, BlinkMacSystemFont, 'Inter', sans-serif</w:t>
      </w:r>
      <w:r>
        <w:rPr>
          <w:sz w:val="20"/>
        </w:rPr>
      </w:r>
    </w:p>
    <w:p>
      <w:pPr>
        <w:pStyle w:val="ListBullet"/>
        <w:spacing w:before="20" w:after="40" w:line="276" w:lineRule="auto"/>
      </w:pPr>
      <w:r>
        <w:rPr>
          <w:sz w:val="20"/>
        </w:rPr>
      </w:r>
      <w:r>
        <w:rPr>
          <w:b/>
          <w:sz w:val="20"/>
        </w:rPr>
        <w:t>Border Radii:</w:t>
      </w:r>
      <w:r>
        <w:rPr>
          <w:sz w:val="20"/>
        </w:rPr>
        <w:t xml:space="preserve"> </w:t>
      </w:r>
      <w:r>
        <w:rPr>
          <w:rFonts w:ascii="Consolas" w:hAnsi="Consolas"/>
          <w:sz w:val="20"/>
        </w:rPr>
        <w:t>14px</w:t>
      </w:r>
      <w:r>
        <w:rPr>
          <w:sz w:val="20"/>
        </w:rPr>
        <w:t xml:space="preserve"> on modals, </w:t>
      </w:r>
      <w:r>
        <w:rPr>
          <w:rFonts w:ascii="Consolas" w:hAnsi="Consolas"/>
          <w:sz w:val="20"/>
        </w:rPr>
        <w:t>10px</w:t>
      </w:r>
      <w:r>
        <w:rPr>
          <w:sz w:val="20"/>
        </w:rPr>
        <w:t xml:space="preserve"> on cards, </w:t>
      </w:r>
      <w:r>
        <w:rPr>
          <w:rFonts w:ascii="Consolas" w:hAnsi="Consolas"/>
          <w:sz w:val="20"/>
        </w:rPr>
        <w:t>8px</w:t>
      </w:r>
      <w:r>
        <w:rPr>
          <w:sz w:val="20"/>
        </w:rPr>
        <w:t xml:space="preserve"> on text fields, and </w:t>
      </w:r>
      <w:r>
        <w:rPr>
          <w:rFonts w:ascii="Consolas" w:hAnsi="Consolas"/>
          <w:sz w:val="20"/>
        </w:rPr>
        <w:t>6px</w:t>
      </w:r>
      <w:r>
        <w:rPr>
          <w:sz w:val="20"/>
        </w:rPr>
        <w:t xml:space="preserve"> on status badges.</w:t>
      </w:r>
    </w:p>
    <w:p>
      <w:pPr>
        <w:pStyle w:val="ListBullet"/>
        <w:spacing w:before="20" w:after="40" w:line="276" w:lineRule="auto"/>
      </w:pPr>
      <w:r>
        <w:rPr>
          <w:sz w:val="20"/>
        </w:rPr>
      </w:r>
      <w:r>
        <w:rPr>
          <w:b/>
          <w:sz w:val="20"/>
        </w:rPr>
        <w:t>Shadows:</w:t>
      </w:r>
      <w:r>
        <w:rPr>
          <w:sz w:val="20"/>
        </w:rPr>
        <w:t xml:space="preserve"> Smooth Gaussian drop-shadows (</w:t>
      </w:r>
      <w:r>
        <w:rPr>
          <w:rFonts w:ascii="Consolas" w:hAnsi="Consolas"/>
          <w:sz w:val="20"/>
        </w:rPr>
        <w:t>dropshadow(gaussian, rgba(0,0,0,0.65), 24, 0, 0, 8)</w:t>
      </w:r>
      <w:r>
        <w:rPr>
          <w:sz w:val="20"/>
        </w:rPr>
        <w:t>).</w:t>
      </w:r>
    </w:p>
    <w:p>
      <w:pPr>
        <w:pStyle w:val="ListBullet"/>
        <w:spacing w:before="20" w:after="40" w:line="276" w:lineRule="auto"/>
      </w:pPr>
      <w:r>
        <w:rPr>
          <w:sz w:val="20"/>
        </w:rPr>
      </w:r>
      <w:r>
        <w:rPr>
          <w:b/>
          <w:sz w:val="20"/>
        </w:rPr>
        <w:t>System Tray:</w:t>
      </w:r>
      <w:r>
        <w:rPr>
          <w:sz w:val="20"/>
        </w:rPr>
        <w:t xml:space="preserve"> Windows system tray integration with close-to-tray behavior, preventing accidental exits during live sync monitoring.</w:t>
      </w:r>
    </w:p>
    <w:p>
      <w:pPr>
        <w:keepNext/>
        <w:spacing w:before="280" w:after="100"/>
      </w:pPr>
      <w:r>
        <w:rPr>
          <w:rFonts w:ascii="Arial" w:hAnsi="Arial"/>
          <w:b/>
          <w:color w:val="1E3A8A"/>
          <w:sz w:val="28"/>
        </w:rPr>
        <w:t>9. Build, Packaging &amp; Multi-Platform Distribution</w:t>
      </w:r>
    </w:p>
    <w:p>
      <w:pPr>
        <w:keepNext/>
        <w:spacing w:before="200" w:after="80"/>
      </w:pPr>
      <w:r>
        <w:rPr>
          <w:rFonts w:ascii="Arial" w:hAnsi="Arial"/>
          <w:b/>
          <w:color w:val="475569"/>
          <w:sz w:val="24"/>
        </w:rPr>
        <w:t>9.1 Build Requirements</w:t>
      </w:r>
    </w:p>
    <w:p>
      <w:pPr>
        <w:pStyle w:val="ListBullet"/>
        <w:spacing w:before="20" w:after="40" w:line="276" w:lineRule="auto"/>
      </w:pPr>
      <w:r>
        <w:rPr>
          <w:sz w:val="20"/>
        </w:rPr>
      </w:r>
      <w:r>
        <w:rPr>
          <w:b/>
          <w:sz w:val="20"/>
        </w:rPr>
        <w:t>JDK:</w:t>
      </w:r>
      <w:r>
        <w:rPr>
          <w:sz w:val="20"/>
        </w:rPr>
        <w:t xml:space="preserve"> Java Development Kit 21 LTS or newer (configured on </w:t>
      </w:r>
      <w:r>
        <w:rPr>
          <w:rFonts w:ascii="Consolas" w:hAnsi="Consolas"/>
          <w:sz w:val="20"/>
        </w:rPr>
        <w:t>JAVA_HOME</w:t>
      </w:r>
      <w:r>
        <w:rPr>
          <w:sz w:val="20"/>
        </w:rPr>
        <w:t>).</w:t>
      </w:r>
    </w:p>
    <w:p>
      <w:pPr>
        <w:pStyle w:val="ListBullet"/>
        <w:spacing w:before="20" w:after="40" w:line="276" w:lineRule="auto"/>
      </w:pPr>
      <w:r>
        <w:rPr>
          <w:sz w:val="20"/>
        </w:rPr>
      </w:r>
      <w:r>
        <w:rPr>
          <w:b/>
          <w:sz w:val="20"/>
        </w:rPr>
        <w:t>Build System:</w:t>
      </w:r>
      <w:r>
        <w:rPr>
          <w:sz w:val="20"/>
        </w:rPr>
        <w:t xml:space="preserve"> Apache Maven 3.9+ or local PowerShell packaging scripts.</w:t>
      </w:r>
    </w:p>
    <w:p>
      <w:pPr>
        <w:pStyle w:val="ListBullet"/>
        <w:spacing w:before="20" w:after="40" w:line="276" w:lineRule="auto"/>
      </w:pPr>
      <w:r>
        <w:rPr>
          <w:sz w:val="20"/>
        </w:rPr>
      </w:r>
      <w:r>
        <w:rPr>
          <w:b/>
          <w:sz w:val="20"/>
        </w:rPr>
        <w:t>Optional Tools:</w:t>
      </w:r>
      <w:r>
        <w:rPr>
          <w:sz w:val="20"/>
        </w:rPr>
        <w:t xml:space="preserve"> 7-Zip (</w:t>
      </w:r>
      <w:r>
        <w:rPr>
          <w:rFonts w:ascii="Consolas" w:hAnsi="Consolas"/>
          <w:sz w:val="20"/>
        </w:rPr>
        <w:t>7z</w:t>
      </w:r>
      <w:r>
        <w:rPr>
          <w:sz w:val="20"/>
        </w:rPr>
        <w:t xml:space="preserve">) for Windows archive creation; </w:t>
      </w:r>
      <w:r>
        <w:rPr>
          <w:rFonts w:ascii="Consolas" w:hAnsi="Consolas"/>
          <w:sz w:val="20"/>
        </w:rPr>
        <w:t>tar</w:t>
      </w:r>
      <w:r>
        <w:rPr>
          <w:sz w:val="20"/>
        </w:rPr>
        <w:t xml:space="preserve"> for Unix archives.</w:t>
      </w:r>
    </w:p>
    <w:p>
      <w:pPr>
        <w:keepNext/>
        <w:spacing w:before="200" w:after="80"/>
      </w:pPr>
      <w:r>
        <w:rPr>
          <w:rFonts w:ascii="Arial" w:hAnsi="Arial"/>
          <w:b/>
          <w:color w:val="475569"/>
          <w:sz w:val="24"/>
        </w:rPr>
        <w:t>9.2 Build &amp; Packaging Commands</w:t>
      </w:r>
    </w:p>
    <w:p>
      <w:pPr>
        <w:keepNext/>
        <w:spacing w:before="160" w:after="60"/>
      </w:pPr>
      <w:r>
        <w:rPr>
          <w:rFonts w:ascii="Calibri" w:hAnsi="Calibri"/>
          <w:b/>
          <w:color w:val="334155"/>
          <w:sz w:val="22"/>
        </w:rPr>
        <w:t>1. Compile &amp; Assemble via Maven:</w:t>
      </w:r>
    </w:p>
    <w:tbl>
      <w:tblPr>
        <w:tblW w:type="auto" w:w="0"/>
        <w:jc w:val="center"/>
        <w:tblLook w:firstColumn="1" w:firstRow="1" w:lastColumn="0" w:lastRow="0" w:noHBand="0" w:noVBand="1" w:val="04A0"/>
      </w:tblPr>
      <w:tblGrid>
        <w:gridCol w:w="9648"/>
      </w:tblGrid>
      <w:tr>
        <w:tc>
          <w:tcPr>
            <w:tcW w:type="dxa" w:w="9360"/>
            <w:shd w:fill="0F172A"/>
            <w:tcMar>
              <w:top w:w="120" w:type="dxa"/>
              <w:bottom w:w="120" w:type="dxa"/>
              <w:left w:w="180" w:type="dxa"/>
              <w:right w:w="180" w:type="dxa"/>
            </w:tcMar>
            <w:tcBorders>
              <w:top w:val="single" w:sz="8" w:space="0" w:color="334155"/>
              <w:left w:val="single" w:sz="8" w:space="0" w:color="334155"/>
              <w:bottom w:val="single" w:sz="8" w:space="0" w:color="334155"/>
              <w:right w:val="single" w:sz="8" w:space="0" w:color="334155"/>
            </w:tcBorders>
          </w:tcPr>
          <w:p>
            <w:pPr>
              <w:spacing w:before="40" w:after="40" w:line="252" w:lineRule="auto"/>
            </w:pPr>
            <w:r>
              <w:rPr>
                <w:rFonts w:ascii="Consolas" w:hAnsi="Consolas"/>
                <w:color w:val="E2E8F0"/>
                <w:sz w:val="17"/>
              </w:rPr>
              <w:t>mvn clean package</w:t>
            </w:r>
          </w:p>
        </w:tc>
      </w:tr>
    </w:tbl>
    <w:p>
      <w:pPr>
        <w:spacing w:after="120"/>
      </w:pPr>
    </w:p>
    <w:p>
      <w:pPr>
        <w:spacing w:before="60" w:after="80" w:line="276" w:lineRule="auto"/>
      </w:pPr>
      <w:r>
        <w:rPr>
          <w:sz w:val="20"/>
        </w:rPr>
        <w:t xml:space="preserve">Generates shaded runnable JAR in </w:t>
      </w:r>
      <w:r>
        <w:rPr>
          <w:rFonts w:ascii="Consolas" w:hAnsi="Consolas"/>
          <w:sz w:val="20"/>
        </w:rPr>
        <w:t>target/acadscatchup-1.0.0.jar</w:t>
      </w:r>
      <w:r>
        <w:rPr>
          <w:sz w:val="20"/>
        </w:rPr>
        <w:t>.</w:t>
      </w:r>
    </w:p>
    <w:p>
      <w:pPr>
        <w:keepNext/>
        <w:spacing w:before="160" w:after="60"/>
      </w:pPr>
      <w:r>
        <w:rPr>
          <w:rFonts w:ascii="Calibri" w:hAnsi="Calibri"/>
          <w:b/>
          <w:color w:val="334155"/>
          <w:sz w:val="22"/>
        </w:rPr>
        <w:t>2. Native Windows Build Script (`build_app.bat`):</w:t>
      </w:r>
    </w:p>
    <w:tbl>
      <w:tblPr>
        <w:tblW w:type="auto" w:w="0"/>
        <w:jc w:val="center"/>
        <w:tblLook w:firstColumn="1" w:firstRow="1" w:lastColumn="0" w:lastRow="0" w:noHBand="0" w:noVBand="1" w:val="04A0"/>
      </w:tblPr>
      <w:tblGrid>
        <w:gridCol w:w="9648"/>
      </w:tblGrid>
      <w:tr>
        <w:tc>
          <w:tcPr>
            <w:tcW w:type="dxa" w:w="9360"/>
            <w:shd w:fill="0F172A"/>
            <w:tcMar>
              <w:top w:w="120" w:type="dxa"/>
              <w:bottom w:w="120" w:type="dxa"/>
              <w:left w:w="180" w:type="dxa"/>
              <w:right w:w="180" w:type="dxa"/>
            </w:tcMar>
            <w:tcBorders>
              <w:top w:val="single" w:sz="8" w:space="0" w:color="334155"/>
              <w:left w:val="single" w:sz="8" w:space="0" w:color="334155"/>
              <w:bottom w:val="single" w:sz="8" w:space="0" w:color="334155"/>
              <w:right w:val="single" w:sz="8" w:space="0" w:color="334155"/>
            </w:tcBorders>
          </w:tcPr>
          <w:p>
            <w:pPr>
              <w:spacing w:before="40" w:after="40" w:line="252" w:lineRule="auto"/>
            </w:pPr>
            <w:r>
              <w:rPr>
                <w:rFonts w:ascii="Consolas" w:hAnsi="Consolas"/>
                <w:color w:val="E2E8F0"/>
                <w:sz w:val="17"/>
              </w:rPr>
              <w:t>.\build_app.bat</w:t>
            </w:r>
          </w:p>
        </w:tc>
      </w:tr>
    </w:tbl>
    <w:p>
      <w:pPr>
        <w:spacing w:after="120"/>
      </w:pPr>
    </w:p>
    <w:p>
      <w:pPr>
        <w:pStyle w:val="ListBullet"/>
        <w:spacing w:before="20" w:after="40" w:line="276" w:lineRule="auto"/>
      </w:pPr>
      <w:r>
        <w:rPr>
          <w:sz w:val="20"/>
        </w:rPr>
        <w:t xml:space="preserve">Compiles all classes under </w:t>
      </w:r>
      <w:r>
        <w:rPr>
          <w:rFonts w:ascii="Consolas" w:hAnsi="Consolas"/>
          <w:sz w:val="20"/>
        </w:rPr>
        <w:t>src/main/java</w:t>
      </w:r>
      <w:r>
        <w:rPr>
          <w:sz w:val="20"/>
        </w:rPr>
        <w:t>.</w:t>
      </w:r>
    </w:p>
    <w:p>
      <w:pPr>
        <w:pStyle w:val="ListBullet"/>
        <w:spacing w:before="20" w:after="40" w:line="276" w:lineRule="auto"/>
      </w:pPr>
      <w:r>
        <w:rPr>
          <w:sz w:val="20"/>
        </w:rPr>
        <w:t xml:space="preserve">Copies resources from </w:t>
      </w:r>
      <w:r>
        <w:rPr>
          <w:rFonts w:ascii="Consolas" w:hAnsi="Consolas"/>
          <w:sz w:val="20"/>
        </w:rPr>
        <w:t>src/main/resources</w:t>
      </w:r>
      <w:r>
        <w:rPr>
          <w:sz w:val="20"/>
        </w:rPr>
        <w:t>.</w:t>
      </w:r>
    </w:p>
    <w:p>
      <w:pPr>
        <w:pStyle w:val="ListBullet"/>
        <w:spacing w:before="20" w:after="40" w:line="276" w:lineRule="auto"/>
      </w:pPr>
      <w:r>
        <w:rPr>
          <w:sz w:val="20"/>
        </w:rPr>
        <w:t xml:space="preserve">Executes </w:t>
      </w:r>
      <w:r>
        <w:rPr>
          <w:rFonts w:ascii="Consolas" w:hAnsi="Consolas"/>
          <w:sz w:val="20"/>
        </w:rPr>
        <w:t>package_fatjar.ps1</w:t>
      </w:r>
      <w:r>
        <w:rPr>
          <w:sz w:val="20"/>
        </w:rPr>
        <w:t xml:space="preserve"> to assemble </w:t>
      </w:r>
      <w:r>
        <w:rPr>
          <w:rFonts w:ascii="Consolas" w:hAnsi="Consolas"/>
          <w:sz w:val="20"/>
        </w:rPr>
        <w:t>dist/AcadsCatchUp.jar</w:t>
      </w:r>
      <w:r>
        <w:rPr>
          <w:sz w:val="20"/>
        </w:rPr>
        <w:t>.</w:t>
      </w:r>
    </w:p>
    <w:p>
      <w:pPr>
        <w:pStyle w:val="ListBullet"/>
        <w:spacing w:before="20" w:after="40" w:line="276" w:lineRule="auto"/>
      </w:pPr>
      <w:r>
        <w:rPr>
          <w:sz w:val="20"/>
        </w:rPr>
        <w:t xml:space="preserve">Synchronizes runtime folders and updates </w:t>
      </w:r>
      <w:r>
        <w:rPr>
          <w:rFonts w:ascii="Consolas" w:hAnsi="Consolas"/>
          <w:sz w:val="20"/>
        </w:rPr>
        <w:t>AcadsCatchUp-v1.0.zip</w:t>
      </w:r>
      <w:r>
        <w:rPr>
          <w:sz w:val="20"/>
        </w:rPr>
        <w:t>.</w:t>
      </w:r>
    </w:p>
    <w:p>
      <w:pPr>
        <w:pStyle w:val="ListBullet"/>
        <w:spacing w:before="20" w:after="40" w:line="276" w:lineRule="auto"/>
      </w:pPr>
      <w:r>
        <w:rPr>
          <w:sz w:val="20"/>
        </w:rPr>
        <w:t xml:space="preserve">Invokes </w:t>
      </w:r>
      <w:r>
        <w:rPr>
          <w:rFonts w:ascii="Consolas" w:hAnsi="Consolas"/>
          <w:sz w:val="20"/>
        </w:rPr>
        <w:t>package_linux.ps1</w:t>
      </w:r>
      <w:r>
        <w:rPr>
          <w:sz w:val="20"/>
        </w:rPr>
        <w:t xml:space="preserve"> to generate Linux packages.</w:t>
      </w:r>
    </w:p>
    <w:p>
      <w:pPr>
        <w:keepNext/>
        <w:spacing w:before="160" w:after="60"/>
      </w:pPr>
      <w:r>
        <w:rPr>
          <w:rFonts w:ascii="Calibri" w:hAnsi="Calibri"/>
          <w:b/>
          <w:color w:val="334155"/>
          <w:sz w:val="22"/>
        </w:rPr>
        <w:t>3. Linux Distribution Packaging (`package_linux.ps1`):</w:t>
      </w:r>
    </w:p>
    <w:tbl>
      <w:tblPr>
        <w:tblW w:type="auto" w:w="0"/>
        <w:jc w:val="center"/>
        <w:tblLook w:firstColumn="1" w:firstRow="1" w:lastColumn="0" w:lastRow="0" w:noHBand="0" w:noVBand="1" w:val="04A0"/>
      </w:tblPr>
      <w:tblGrid>
        <w:gridCol w:w="9648"/>
      </w:tblGrid>
      <w:tr>
        <w:tc>
          <w:tcPr>
            <w:tcW w:type="dxa" w:w="9360"/>
            <w:shd w:fill="0F172A"/>
            <w:tcMar>
              <w:top w:w="120" w:type="dxa"/>
              <w:bottom w:w="120" w:type="dxa"/>
              <w:left w:w="180" w:type="dxa"/>
              <w:right w:w="180" w:type="dxa"/>
            </w:tcMar>
            <w:tcBorders>
              <w:top w:val="single" w:sz="8" w:space="0" w:color="334155"/>
              <w:left w:val="single" w:sz="8" w:space="0" w:color="334155"/>
              <w:bottom w:val="single" w:sz="8" w:space="0" w:color="334155"/>
              <w:right w:val="single" w:sz="8" w:space="0" w:color="334155"/>
            </w:tcBorders>
          </w:tcPr>
          <w:p>
            <w:pPr>
              <w:spacing w:before="40" w:after="40" w:line="252" w:lineRule="auto"/>
            </w:pPr>
            <w:r>
              <w:rPr>
                <w:rFonts w:ascii="Consolas" w:hAnsi="Consolas"/>
                <w:color w:val="E2E8F0"/>
                <w:sz w:val="17"/>
              </w:rPr>
              <w:t>powershell -ExecutionPolicy Bypass -File package_linux.ps1</w:t>
            </w:r>
          </w:p>
        </w:tc>
      </w:tr>
    </w:tbl>
    <w:p>
      <w:pPr>
        <w:spacing w:after="120"/>
      </w:pPr>
    </w:p>
    <w:p>
      <w:pPr>
        <w:pStyle w:val="ListBullet"/>
        <w:spacing w:before="20" w:after="40" w:line="276" w:lineRule="auto"/>
      </w:pPr>
      <w:r>
        <w:rPr>
          <w:sz w:val="20"/>
        </w:rPr>
        <w:t>Formats text files (</w:t>
      </w:r>
      <w:r>
        <w:rPr>
          <w:rFonts w:ascii="Consolas" w:hAnsi="Consolas"/>
          <w:sz w:val="20"/>
        </w:rPr>
        <w:t>Launch_AcadsCatchUp.sh</w:t>
      </w:r>
      <w:r>
        <w:rPr>
          <w:sz w:val="20"/>
        </w:rPr>
        <w:t xml:space="preserve">, </w:t>
      </w:r>
      <w:r>
        <w:rPr>
          <w:rFonts w:ascii="Consolas" w:hAnsi="Consolas"/>
          <w:sz w:val="20"/>
        </w:rPr>
        <w:t>AcadsCatchUp.desktop</w:t>
      </w:r>
      <w:r>
        <w:rPr>
          <w:sz w:val="20"/>
        </w:rPr>
        <w:t>) with Unix LF line endings.</w:t>
      </w:r>
    </w:p>
    <w:p>
      <w:pPr>
        <w:pStyle w:val="ListBullet"/>
        <w:spacing w:before="20" w:after="40" w:line="276" w:lineRule="auto"/>
      </w:pPr>
      <w:r>
        <w:rPr>
          <w:sz w:val="20"/>
        </w:rPr>
        <w:t xml:space="preserve">Generates </w:t>
      </w:r>
      <w:r>
        <w:rPr>
          <w:rFonts w:ascii="Consolas" w:hAnsi="Consolas"/>
          <w:sz w:val="20"/>
        </w:rPr>
        <w:t>dist/AcadsCatchUp-Linux.tar.gz</w:t>
      </w:r>
      <w:r>
        <w:rPr>
          <w:sz w:val="20"/>
        </w:rPr>
        <w:t xml:space="preserve"> and </w:t>
      </w:r>
      <w:r>
        <w:rPr>
          <w:rFonts w:ascii="Consolas" w:hAnsi="Consolas"/>
          <w:sz w:val="20"/>
        </w:rPr>
        <w:t>dist/AcadsCatchUp-Linux.zip</w:t>
      </w:r>
      <w:r>
        <w:rPr>
          <w:sz w:val="20"/>
        </w:rPr>
        <w:t>.</w:t>
      </w:r>
    </w:p>
    <w:p>
      <w:pPr>
        <w:keepNext/>
        <w:spacing w:before="280" w:after="100"/>
      </w:pPr>
      <w:r>
        <w:rPr>
          <w:rFonts w:ascii="Arial" w:hAnsi="Arial"/>
          <w:b/>
          <w:color w:val="1E3A8A"/>
          <w:sz w:val="28"/>
        </w:rPr>
        <w:t>10. Security Controls &amp; Anti-Tampering Protections</w:t>
      </w:r>
    </w:p>
    <w:p>
      <w:pPr>
        <w:spacing w:before="60" w:after="80" w:line="276" w:lineRule="auto"/>
      </w:pPr>
      <w:r>
        <w:rPr>
          <w:sz w:val="20"/>
        </w:rPr>
        <w:t>AcadsCatchUp incorporates defensive programming across transport, persistence, and runtime integrity:</w:t>
      </w:r>
    </w:p>
    <w:tbl>
      <w:tblPr>
        <w:tblW w:type="auto" w:w="0"/>
        <w:jc w:val="center"/>
        <w:tblLayout w:type="autofit"/>
        <w:tblLook w:firstColumn="1" w:firstRow="1" w:lastColumn="0" w:lastRow="0" w:noHBand="0" w:noVBand="1" w:val="04A0"/>
      </w:tblPr>
      <w:tblGrid>
        <w:gridCol w:w="3216"/>
        <w:gridCol w:w="3216"/>
        <w:gridCol w:w="3216"/>
      </w:tblGrid>
      <w:tr>
        <w:tc>
          <w:tcPr>
            <w:tcW w:type="dxa" w:w="3216"/>
            <w:tcMar>
              <w:top w:w="120" w:type="dxa"/>
              <w:bottom w:w="120" w:type="dxa"/>
              <w:left w:w="140" w:type="dxa"/>
              <w:right w:w="140" w:type="dxa"/>
            </w:tcMar>
            <w:shd w:fill="1E293B"/>
            <w:tcBorders>
              <w:top w:val="single" w:sz="6" w:space="0" w:color="0F172A"/>
              <w:left w:val="single" w:sz="4" w:space="0" w:color="334155"/>
              <w:bottom w:val="single" w:sz="6" w:space="0" w:color="0F172A"/>
              <w:right w:val="single" w:sz="4" w:space="0" w:color="334155"/>
            </w:tcBorders>
          </w:tcPr>
          <w:p>
            <w:pPr>
              <w:spacing w:before="40" w:after="40" w:line="276" w:lineRule="auto"/>
            </w:pPr>
            <w:r>
              <w:rPr>
                <w:b/>
                <w:color w:val="F8FAFC"/>
                <w:sz w:val="19"/>
              </w:rPr>
              <w:t>Security Layer</w:t>
            </w:r>
          </w:p>
        </w:tc>
        <w:tc>
          <w:tcPr>
            <w:tcW w:type="dxa" w:w="3216"/>
            <w:tcMar>
              <w:top w:w="120" w:type="dxa"/>
              <w:bottom w:w="120" w:type="dxa"/>
              <w:left w:w="140" w:type="dxa"/>
              <w:right w:w="140" w:type="dxa"/>
            </w:tcMar>
            <w:shd w:fill="1E293B"/>
            <w:tcBorders>
              <w:top w:val="single" w:sz="6" w:space="0" w:color="0F172A"/>
              <w:left w:val="single" w:sz="4" w:space="0" w:color="334155"/>
              <w:bottom w:val="single" w:sz="6" w:space="0" w:color="0F172A"/>
              <w:right w:val="single" w:sz="4" w:space="0" w:color="334155"/>
            </w:tcBorders>
          </w:tcPr>
          <w:p>
            <w:pPr>
              <w:spacing w:before="40" w:after="40" w:line="276" w:lineRule="auto"/>
            </w:pPr>
            <w:r>
              <w:rPr>
                <w:b/>
                <w:color w:val="F8FAFC"/>
                <w:sz w:val="19"/>
              </w:rPr>
              <w:t>Technical Implementation</w:t>
            </w:r>
          </w:p>
        </w:tc>
        <w:tc>
          <w:tcPr>
            <w:tcW w:type="dxa" w:w="3216"/>
            <w:tcMar>
              <w:top w:w="120" w:type="dxa"/>
              <w:bottom w:w="120" w:type="dxa"/>
              <w:left w:w="140" w:type="dxa"/>
              <w:right w:w="140" w:type="dxa"/>
            </w:tcMar>
            <w:shd w:fill="1E293B"/>
            <w:tcBorders>
              <w:top w:val="single" w:sz="6" w:space="0" w:color="0F172A"/>
              <w:left w:val="single" w:sz="4" w:space="0" w:color="334155"/>
              <w:bottom w:val="single" w:sz="6" w:space="0" w:color="0F172A"/>
              <w:right w:val="single" w:sz="4" w:space="0" w:color="334155"/>
            </w:tcBorders>
          </w:tcPr>
          <w:p>
            <w:pPr>
              <w:spacing w:before="40" w:after="40" w:line="276" w:lineRule="auto"/>
            </w:pPr>
            <w:r>
              <w:rPr>
                <w:b/>
                <w:color w:val="F8FAFC"/>
                <w:sz w:val="19"/>
              </w:rPr>
              <w:t>Defense Target</w:t>
            </w:r>
          </w:p>
        </w:tc>
      </w:tr>
      <w:tr>
        <w:tc>
          <w:tcPr>
            <w:tcW w:type="dxa" w:w="3216"/>
            <w:tcMar>
              <w:top w:w="120" w:type="dxa"/>
              <w:bottom w:w="120" w:type="dxa"/>
              <w:left w:w="140" w:type="dxa"/>
              <w:right w:w="14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color w:val="1E293B"/>
                <w:sz w:val="18"/>
              </w:rPr>
            </w:r>
            <w:r>
              <w:rPr>
                <w:b/>
                <w:color w:val="1E293B"/>
                <w:sz w:val="18"/>
              </w:rPr>
              <w:t>Password Storage</w:t>
            </w:r>
            <w:r>
              <w:rPr>
                <w:color w:val="1E293B"/>
                <w:sz w:val="18"/>
              </w:rPr>
            </w:r>
          </w:p>
        </w:tc>
        <w:tc>
          <w:tcPr>
            <w:tcW w:type="dxa" w:w="3216"/>
            <w:tcMar>
              <w:top w:w="120" w:type="dxa"/>
              <w:bottom w:w="120" w:type="dxa"/>
              <w:left w:w="140" w:type="dxa"/>
              <w:right w:w="14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color w:val="1E293B"/>
                <w:sz w:val="18"/>
              </w:rPr>
              <w:t>Salted SHA-256 using 16-byte random salt (`SecureRandom`) with `MessageDigest.isEqual()` constant-time comparison.</w:t>
            </w:r>
          </w:p>
        </w:tc>
        <w:tc>
          <w:tcPr>
            <w:tcW w:type="dxa" w:w="3216"/>
            <w:tcMar>
              <w:top w:w="120" w:type="dxa"/>
              <w:bottom w:w="120" w:type="dxa"/>
              <w:left w:w="140" w:type="dxa"/>
              <w:right w:w="14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color w:val="1E293B"/>
                <w:sz w:val="18"/>
              </w:rPr>
              <w:t>Rainbow tables, brute force, timing side-channel attacks.</w:t>
            </w:r>
          </w:p>
        </w:tc>
      </w:tr>
      <w:tr>
        <w:tc>
          <w:tcPr>
            <w:tcW w:type="dxa" w:w="3216"/>
            <w:tcMar>
              <w:top w:w="120" w:type="dxa"/>
              <w:bottom w:w="12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color w:val="1E293B"/>
                <w:sz w:val="18"/>
              </w:rPr>
            </w:r>
            <w:r>
              <w:rPr>
                <w:b/>
                <w:color w:val="1E293B"/>
                <w:sz w:val="18"/>
              </w:rPr>
              <w:t>Credential Obfuscation</w:t>
            </w:r>
            <w:r>
              <w:rPr>
                <w:color w:val="1E293B"/>
                <w:sz w:val="18"/>
              </w:rPr>
            </w:r>
          </w:p>
        </w:tc>
        <w:tc>
          <w:tcPr>
            <w:tcW w:type="dxa" w:w="3216"/>
            <w:tcMar>
              <w:top w:w="120" w:type="dxa"/>
              <w:bottom w:w="12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color w:val="1E293B"/>
                <w:sz w:val="18"/>
              </w:rPr>
              <w:t>Sensitive cloud database hosts, users, and passwords obfuscated with multi-byte XOR (`0x5A`).</w:t>
            </w:r>
          </w:p>
        </w:tc>
        <w:tc>
          <w:tcPr>
            <w:tcW w:type="dxa" w:w="3216"/>
            <w:tcMar>
              <w:top w:w="120" w:type="dxa"/>
              <w:bottom w:w="12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color w:val="1E293B"/>
                <w:sz w:val="18"/>
              </w:rPr>
              <w:t>Static string inspection and decompiler reverse-engineering.</w:t>
            </w:r>
          </w:p>
        </w:tc>
      </w:tr>
      <w:tr>
        <w:tc>
          <w:tcPr>
            <w:tcW w:type="dxa" w:w="3216"/>
            <w:tcMar>
              <w:top w:w="120" w:type="dxa"/>
              <w:bottom w:w="120" w:type="dxa"/>
              <w:left w:w="140" w:type="dxa"/>
              <w:right w:w="14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color w:val="1E293B"/>
                <w:sz w:val="18"/>
              </w:rPr>
            </w:r>
            <w:r>
              <w:rPr>
                <w:b/>
                <w:color w:val="1E293B"/>
                <w:sz w:val="18"/>
              </w:rPr>
              <w:t>DeveloperGuard Scanner</w:t>
            </w:r>
            <w:r>
              <w:rPr>
                <w:color w:val="1E293B"/>
                <w:sz w:val="18"/>
              </w:rPr>
            </w:r>
          </w:p>
        </w:tc>
        <w:tc>
          <w:tcPr>
            <w:tcW w:type="dxa" w:w="3216"/>
            <w:tcMar>
              <w:top w:w="120" w:type="dxa"/>
              <w:bottom w:w="120" w:type="dxa"/>
              <w:left w:w="140" w:type="dxa"/>
              <w:right w:w="14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color w:val="1E293B"/>
                <w:sz w:val="18"/>
              </w:rPr>
              <w:t>Reflection audit requiring `DEVELOPER = "F4TAL"` static field on all compiled classes before execution.</w:t>
            </w:r>
          </w:p>
        </w:tc>
        <w:tc>
          <w:tcPr>
            <w:tcW w:type="dxa" w:w="3216"/>
            <w:tcMar>
              <w:top w:w="120" w:type="dxa"/>
              <w:bottom w:w="120" w:type="dxa"/>
              <w:left w:w="140" w:type="dxa"/>
              <w:right w:w="14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color w:val="1E293B"/>
                <w:sz w:val="18"/>
              </w:rPr>
              <w:t>Code tampering, unauthorized forks, and repackaging.</w:t>
            </w:r>
          </w:p>
        </w:tc>
      </w:tr>
      <w:tr>
        <w:tc>
          <w:tcPr>
            <w:tcW w:type="dxa" w:w="3216"/>
            <w:tcMar>
              <w:top w:w="120" w:type="dxa"/>
              <w:bottom w:w="12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color w:val="1E293B"/>
                <w:sz w:val="18"/>
              </w:rPr>
            </w:r>
            <w:r>
              <w:rPr>
                <w:b/>
                <w:color w:val="1E293B"/>
                <w:sz w:val="18"/>
              </w:rPr>
              <w:t>Two-Factor Auth (2FA)</w:t>
            </w:r>
            <w:r>
              <w:rPr>
                <w:color w:val="1E293B"/>
                <w:sz w:val="18"/>
              </w:rPr>
            </w:r>
          </w:p>
        </w:tc>
        <w:tc>
          <w:tcPr>
            <w:tcW w:type="dxa" w:w="3216"/>
            <w:tcMar>
              <w:top w:w="120" w:type="dxa"/>
              <w:bottom w:w="12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color w:val="1E293B"/>
                <w:sz w:val="18"/>
              </w:rPr>
              <w:t>6-digit one-time passcode (OTP) with 5-minute lifespan and 5-attempt rate-limiting lock.</w:t>
            </w:r>
          </w:p>
        </w:tc>
        <w:tc>
          <w:tcPr>
            <w:tcW w:type="dxa" w:w="3216"/>
            <w:tcMar>
              <w:top w:w="120" w:type="dxa"/>
              <w:bottom w:w="12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color w:val="1E293B"/>
                <w:sz w:val="18"/>
              </w:rPr>
              <w:t>Credential stuffing and unauthorized login attempts.</w:t>
            </w:r>
          </w:p>
        </w:tc>
      </w:tr>
      <w:tr>
        <w:tc>
          <w:tcPr>
            <w:tcW w:type="dxa" w:w="3216"/>
            <w:tcMar>
              <w:top w:w="120" w:type="dxa"/>
              <w:bottom w:w="120" w:type="dxa"/>
              <w:left w:w="140" w:type="dxa"/>
              <w:right w:w="14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color w:val="1E293B"/>
                <w:sz w:val="18"/>
              </w:rPr>
            </w:r>
            <w:r>
              <w:rPr>
                <w:b/>
                <w:color w:val="1E293B"/>
                <w:sz w:val="18"/>
              </w:rPr>
              <w:t>Mailbox Deliverability</w:t>
            </w:r>
            <w:r>
              <w:rPr>
                <w:color w:val="1E293B"/>
                <w:sz w:val="18"/>
              </w:rPr>
            </w:r>
          </w:p>
        </w:tc>
        <w:tc>
          <w:tcPr>
            <w:tcW w:type="dxa" w:w="3216"/>
            <w:tcMar>
              <w:top w:w="120" w:type="dxa"/>
              <w:bottom w:w="120" w:type="dxa"/>
              <w:left w:w="140" w:type="dxa"/>
              <w:right w:w="14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color w:val="1E293B"/>
                <w:sz w:val="18"/>
              </w:rPr>
              <w:t>AbstractAPI REST verification and live DNS MX socket validation before dispatching credentials.</w:t>
            </w:r>
          </w:p>
        </w:tc>
        <w:tc>
          <w:tcPr>
            <w:tcW w:type="dxa" w:w="3216"/>
            <w:tcMar>
              <w:top w:w="120" w:type="dxa"/>
              <w:bottom w:w="120" w:type="dxa"/>
              <w:left w:w="140" w:type="dxa"/>
              <w:right w:w="14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color w:val="1E293B"/>
                <w:sz w:val="18"/>
              </w:rPr>
              <w:t>Fake accounts, bounce storms, and spam traps.</w:t>
            </w:r>
          </w:p>
        </w:tc>
      </w:tr>
      <w:tr>
        <w:tc>
          <w:tcPr>
            <w:tcW w:type="dxa" w:w="3216"/>
            <w:tcMar>
              <w:top w:w="120" w:type="dxa"/>
              <w:bottom w:w="12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color w:val="1E293B"/>
                <w:sz w:val="18"/>
              </w:rPr>
            </w:r>
            <w:r>
              <w:rPr>
                <w:b/>
                <w:color w:val="1E293B"/>
                <w:sz w:val="18"/>
              </w:rPr>
              <w:t>Transport Security</w:t>
            </w:r>
            <w:r>
              <w:rPr>
                <w:color w:val="1E293B"/>
                <w:sz w:val="18"/>
              </w:rPr>
            </w:r>
          </w:p>
        </w:tc>
        <w:tc>
          <w:tcPr>
            <w:tcW w:type="dxa" w:w="3216"/>
            <w:tcMar>
              <w:top w:w="120" w:type="dxa"/>
              <w:bottom w:w="12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color w:val="1E293B"/>
                <w:sz w:val="18"/>
              </w:rPr>
              <w:t>TLSv1.3 and STARTTLS on port 587; SSL on port 465; TLS on TiDB Cloud port 4000.</w:t>
            </w:r>
          </w:p>
        </w:tc>
        <w:tc>
          <w:tcPr>
            <w:tcW w:type="dxa" w:w="3216"/>
            <w:tcMar>
              <w:top w:w="120" w:type="dxa"/>
              <w:bottom w:w="120" w:type="dxa"/>
              <w:left w:w="140" w:type="dxa"/>
              <w:right w:w="14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color w:val="1E293B"/>
                <w:sz w:val="18"/>
              </w:rPr>
              <w:t>Man-in-the-Middle (MitM) eavesdropping and packet snooping.</w:t>
            </w:r>
          </w:p>
        </w:tc>
      </w:tr>
      <w:tr>
        <w:tc>
          <w:tcPr>
            <w:tcW w:type="dxa" w:w="3216"/>
            <w:tcMar>
              <w:top w:w="120" w:type="dxa"/>
              <w:bottom w:w="120" w:type="dxa"/>
              <w:left w:w="140" w:type="dxa"/>
              <w:right w:w="14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color w:val="1E293B"/>
                <w:sz w:val="18"/>
              </w:rPr>
            </w:r>
            <w:r>
              <w:rPr>
                <w:b/>
                <w:color w:val="1E293B"/>
                <w:sz w:val="18"/>
              </w:rPr>
              <w:t>SQL Injection Defense</w:t>
            </w:r>
            <w:r>
              <w:rPr>
                <w:color w:val="1E293B"/>
                <w:sz w:val="18"/>
              </w:rPr>
            </w:r>
          </w:p>
        </w:tc>
        <w:tc>
          <w:tcPr>
            <w:tcW w:type="dxa" w:w="3216"/>
            <w:tcMar>
              <w:top w:w="120" w:type="dxa"/>
              <w:bottom w:w="120" w:type="dxa"/>
              <w:left w:w="140" w:type="dxa"/>
              <w:right w:w="14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color w:val="1E293B"/>
                <w:sz w:val="18"/>
              </w:rPr>
              <w:t>100% parameterized queries via JDBC `PreparedStatement` across all DAO components.</w:t>
            </w:r>
          </w:p>
        </w:tc>
        <w:tc>
          <w:tcPr>
            <w:tcW w:type="dxa" w:w="3216"/>
            <w:tcMar>
              <w:top w:w="120" w:type="dxa"/>
              <w:bottom w:w="120" w:type="dxa"/>
              <w:left w:w="140" w:type="dxa"/>
              <w:right w:w="14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color w:val="1E293B"/>
                <w:sz w:val="18"/>
              </w:rPr>
              <w:t>Malicious SQL payload injection.</w:t>
            </w:r>
          </w:p>
        </w:tc>
      </w:tr>
    </w:tbl>
    <w:p>
      <w:pPr>
        <w:spacing w:after="120"/>
      </w:pP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