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6480"/>
            <w:shd w:fill="1B365D"/>
            <w:tcMar>
              <w:top w:w="100" w:type="dxa"/>
              <w:bottom w:w="100" w:type="dxa"/>
              <w:left w:w="120" w:type="dxa"/>
              <w:right w:w="120" w:type="dxa"/>
            </w:tcMar>
          </w:tcPr>
          <w:p>
            <w:pPr>
              <w:spacing w:after="40"/>
            </w:pPr>
            <w:r>
              <w:rPr>
                <w:rFonts w:ascii="Times New Roman" w:hAnsi="Times New Roman"/>
                <w:b/>
                <w:i w:val="0"/>
                <w:color w:val="FFFFFF"/>
                <w:sz w:val="44"/>
              </w:rPr>
              <w:t>RahiScan</w:t>
              <w:br/>
            </w:r>
            <w:r>
              <w:rPr>
                <w:rFonts w:ascii="Times New Roman" w:hAnsi="Times New Roman"/>
                <w:b w:val="0"/>
                <w:i w:val="0"/>
                <w:color w:val="FFFFFF"/>
                <w:sz w:val="26"/>
              </w:rPr>
              <w:t>Automated Qingqi Rickshaw Fare &amp; Pace Telemetry</w:t>
              <w:br/>
            </w:r>
            <w:r>
              <w:rPr>
                <w:rFonts w:ascii="Times New Roman" w:hAnsi="Times New Roman"/>
                <w:b w:val="0"/>
                <w:i/>
                <w:color w:val="D6E6F9"/>
                <w:sz w:val="21"/>
              </w:rPr>
              <w:t>A Data Science Lifecycle Proposal · Superior University Gold Campus</w:t>
            </w:r>
          </w:p>
        </w:tc>
        <w:tc>
          <w:tcPr>
            <w:tcW w:type="dxa" w:w="3456"/>
            <w:shd w:fill="1B365D"/>
            <w:tcMar>
              <w:top w:w="100" w:type="dxa"/>
              <w:bottom w:w="100" w:type="dxa"/>
              <w:left w:w="120" w:type="dxa"/>
              <w:right w:w="120" w:type="dxa"/>
            </w:tcMar>
          </w:tcPr>
          <w:p>
            <w:pPr>
              <w:spacing w:after="40"/>
              <w:jc w:val="right"/>
            </w:pPr>
            <w:r>
              <w:rPr>
                <w:rFonts w:ascii="Times New Roman" w:hAnsi="Times New Roman"/>
                <w:b w:val="0"/>
                <w:i w:val="0"/>
                <w:color w:val="FFFFFF"/>
                <w:sz w:val="19"/>
              </w:rPr>
              <w:t>Introduction to Data Science</w:t>
              <w:br/>
              <w:t>Group Assignment</w:t>
              <w:br/>
              <w:t>Submitted 21 October 2026</w:t>
              <w:br/>
              <w:br/>
            </w:r>
            <w:r>
              <w:rPr>
                <w:rFonts w:ascii="Times New Roman" w:hAnsi="Times New Roman"/>
                <w:b w:val="0"/>
                <w:i w:val="0"/>
                <w:color w:val="D6E6F9"/>
                <w:sz w:val="16"/>
              </w:rPr>
              <w:t>github.com/ZEKT-VII/RahiScan-DS-Proposal</w:t>
            </w:r>
          </w:p>
        </w:tc>
      </w:tr>
    </w:tbl>
    <w:p>
      <w:pPr>
        <w:keepNext/>
        <w:spacing w:before="160" w:after="80"/>
        <w:pBdr>
          <w:bottom w:val="single" w:sz="8" w:space="1" w:color="1F7A7A"/>
        </w:pBdr>
      </w:pPr>
      <w:r>
        <w:rPr>
          <w:rFonts w:ascii="Times New Roman" w:hAnsi="Times New Roman"/>
          <w:b/>
          <w:i w:val="0"/>
          <w:color w:val="1B365D"/>
          <w:sz w:val="32"/>
        </w:rPr>
        <w:t>Group Contributions Form</w:t>
      </w:r>
    </w:p>
    <w:p>
      <w:pPr>
        <w:spacing w:before="0" w:after="80" w:line="245" w:lineRule="auto"/>
        <w:jc w:val="both"/>
      </w:pPr>
      <w:r>
        <w:rPr>
          <w:rFonts w:ascii="Times New Roman" w:hAnsi="Times New Roman"/>
          <w:b w:val="0"/>
          <w:i w:val="0"/>
          <w:sz w:val="24"/>
        </w:rPr>
        <w:t>This form records how our three-member team divided the work behind this proposal. Each member led specific stages of the Data Science Lifecycle and reviewed the stages led by the others, so the whole report reflects a shared design.</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2494"/>
        <w:gridCol w:w="2494"/>
        <w:gridCol w:w="2494"/>
        <w:gridCol w:w="2494"/>
      </w:tblGrid>
      <w:tr>
        <w:tc>
          <w:tcPr>
            <w:tcW w:type="dxa" w:w="1224"/>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Member</w:t>
            </w:r>
          </w:p>
        </w:tc>
        <w:tc>
          <w:tcPr>
            <w:tcW w:type="dxa" w:w="2088"/>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Name</w:t>
            </w:r>
          </w:p>
        </w:tc>
        <w:tc>
          <w:tcPr>
            <w:tcW w:type="dxa" w:w="2088"/>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Roll Number</w:t>
            </w:r>
          </w:p>
        </w:tc>
        <w:tc>
          <w:tcPr>
            <w:tcW w:type="dxa" w:w="4536"/>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Contribution</w:t>
            </w:r>
          </w:p>
        </w:tc>
      </w:tr>
      <w:tr>
        <w:tc>
          <w:tcPr>
            <w:tcW w:type="dxa" w:w="1224"/>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20"/>
              </w:rPr>
              <w:t>Member 1</w:t>
            </w:r>
          </w:p>
        </w:tc>
        <w:tc>
          <w:tcPr>
            <w:tcW w:type="dxa" w:w="2088"/>
            <w:tcMar>
              <w:top w:w="20" w:type="dxa"/>
              <w:bottom w:w="20" w:type="dxa"/>
              <w:left w:w="55" w:type="dxa"/>
              <w:right w:w="55" w:type="dxa"/>
            </w:tcMar>
            <w:vAlign w:val="center"/>
          </w:tcPr>
          <w:p>
            <w:pPr>
              <w:spacing w:before="0" w:after="0" w:line="240" w:lineRule="auto"/>
              <w:jc w:val="left"/>
            </w:pPr>
            <w:r>
              <w:rPr>
                <w:rFonts w:ascii="Times New Roman" w:hAnsi="Times New Roman"/>
                <w:b/>
                <w:i w:val="0"/>
                <w:sz w:val="20"/>
              </w:rPr>
              <w:t>Muhammad Saad Hussain</w:t>
            </w:r>
          </w:p>
        </w:tc>
        <w:tc>
          <w:tcPr>
            <w:tcW w:type="dxa" w:w="2088"/>
            <w:tcMar>
              <w:top w:w="20" w:type="dxa"/>
              <w:bottom w:w="20" w:type="dxa"/>
              <w:left w:w="55" w:type="dxa"/>
              <w:right w:w="55" w:type="dxa"/>
            </w:tcMar>
            <w:vAlign w:val="center"/>
          </w:tcPr>
          <w:p>
            <w:pPr>
              <w:spacing w:before="0" w:after="0" w:line="240" w:lineRule="auto"/>
              <w:jc w:val="center"/>
            </w:pPr>
            <w:r>
              <w:rPr>
                <w:rFonts w:ascii="Times New Roman" w:hAnsi="Times New Roman"/>
                <w:b w:val="0"/>
                <w:i w:val="0"/>
                <w:sz w:val="20"/>
              </w:rPr>
              <w:t>SU92-BSCSM-F25-260</w:t>
            </w:r>
          </w:p>
        </w:tc>
        <w:tc>
          <w:tcPr>
            <w:tcW w:type="dxa" w:w="453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20"/>
              </w:rPr>
              <w:t xml:space="preserve">Wrote the case-study story, framed the problem, designed the scanning workflow, data-collection schema, system architecture, and planned the in-app deployment, privacy safeguards, and rollout roadmap. Led the </w:t>
            </w:r>
            <w:r>
              <w:rPr>
                <w:rFonts w:ascii="Times New Roman" w:hAnsi="Times New Roman"/>
                <w:b/>
                <w:i w:val="0"/>
                <w:sz w:val="20"/>
              </w:rPr>
              <w:t>Define, Collect</w:t>
            </w:r>
            <w:r>
              <w:rPr>
                <w:rFonts w:ascii="Times New Roman" w:hAnsi="Times New Roman"/>
                <w:b w:val="0"/>
                <w:i w:val="0"/>
                <w:sz w:val="20"/>
              </w:rPr>
              <w:t xml:space="preserve"> and </w:t>
            </w:r>
            <w:r>
              <w:rPr>
                <w:rFonts w:ascii="Times New Roman" w:hAnsi="Times New Roman"/>
                <w:b/>
                <w:i w:val="0"/>
                <w:sz w:val="20"/>
              </w:rPr>
              <w:t>Deploy</w:t>
            </w:r>
            <w:r>
              <w:rPr>
                <w:rFonts w:ascii="Times New Roman" w:hAnsi="Times New Roman"/>
                <w:b w:val="0"/>
                <w:i w:val="0"/>
                <w:sz w:val="20"/>
              </w:rPr>
              <w:t xml:space="preserve"> stages.</w:t>
            </w:r>
          </w:p>
        </w:tc>
      </w:tr>
      <w:tr>
        <w:tc>
          <w:tcPr>
            <w:tcW w:type="dxa" w:w="1224"/>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20"/>
              </w:rPr>
              <w:t>Member 2</w:t>
            </w:r>
          </w:p>
        </w:tc>
        <w:tc>
          <w:tcPr>
            <w:tcW w:type="dxa" w:w="2088"/>
            <w:tcMar>
              <w:top w:w="20" w:type="dxa"/>
              <w:bottom w:w="20" w:type="dxa"/>
              <w:left w:w="55" w:type="dxa"/>
              <w:right w:w="55" w:type="dxa"/>
            </w:tcMar>
            <w:vAlign w:val="center"/>
          </w:tcPr>
          <w:p>
            <w:pPr>
              <w:spacing w:before="0" w:after="0" w:line="240" w:lineRule="auto"/>
              <w:jc w:val="left"/>
            </w:pPr>
            <w:r>
              <w:rPr>
                <w:rFonts w:ascii="Times New Roman" w:hAnsi="Times New Roman"/>
                <w:b/>
                <w:i w:val="0"/>
                <w:sz w:val="20"/>
              </w:rPr>
              <w:t>Muhammad Khubaib</w:t>
            </w:r>
          </w:p>
        </w:tc>
        <w:tc>
          <w:tcPr>
            <w:tcW w:type="dxa" w:w="2088"/>
            <w:tcMar>
              <w:top w:w="20" w:type="dxa"/>
              <w:bottom w:w="20" w:type="dxa"/>
              <w:left w:w="55" w:type="dxa"/>
              <w:right w:w="55" w:type="dxa"/>
            </w:tcMar>
            <w:vAlign w:val="center"/>
          </w:tcPr>
          <w:p>
            <w:pPr>
              <w:spacing w:before="0" w:after="0" w:line="240" w:lineRule="auto"/>
              <w:jc w:val="center"/>
            </w:pPr>
            <w:r>
              <w:rPr>
                <w:rFonts w:ascii="Times New Roman" w:hAnsi="Times New Roman"/>
                <w:b w:val="0"/>
                <w:i w:val="0"/>
                <w:sz w:val="20"/>
              </w:rPr>
              <w:t>SU92-BSCSM-F25-300</w:t>
            </w:r>
          </w:p>
        </w:tc>
        <w:tc>
          <w:tcPr>
            <w:tcW w:type="dxa" w:w="453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20"/>
              </w:rPr>
              <w:t xml:space="preserve">Built the mock Lahore Qingqi dataset and Python cleaning pipeline, wrote the OCR-face fusion and walking-tail trimming rules, and conducted the exploratory traffic-baseline and fare-ratio analysis. Led the </w:t>
            </w:r>
            <w:r>
              <w:rPr>
                <w:rFonts w:ascii="Times New Roman" w:hAnsi="Times New Roman"/>
                <w:b/>
                <w:i w:val="0"/>
                <w:sz w:val="20"/>
              </w:rPr>
              <w:t>Clean</w:t>
            </w:r>
            <w:r>
              <w:rPr>
                <w:rFonts w:ascii="Times New Roman" w:hAnsi="Times New Roman"/>
                <w:b w:val="0"/>
                <w:i w:val="0"/>
                <w:sz w:val="20"/>
              </w:rPr>
              <w:t xml:space="preserve"> and </w:t>
            </w:r>
            <w:r>
              <w:rPr>
                <w:rFonts w:ascii="Times New Roman" w:hAnsi="Times New Roman"/>
                <w:b/>
                <w:i w:val="0"/>
                <w:sz w:val="20"/>
              </w:rPr>
              <w:t>Explore</w:t>
            </w:r>
            <w:r>
              <w:rPr>
                <w:rFonts w:ascii="Times New Roman" w:hAnsi="Times New Roman"/>
                <w:b w:val="0"/>
                <w:i w:val="0"/>
                <w:sz w:val="20"/>
              </w:rPr>
              <w:t xml:space="preserve"> stages.</w:t>
            </w:r>
          </w:p>
        </w:tc>
      </w:tr>
      <w:tr>
        <w:tc>
          <w:tcPr>
            <w:tcW w:type="dxa" w:w="1224"/>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20"/>
              </w:rPr>
              <w:t>Member 3</w:t>
            </w:r>
          </w:p>
        </w:tc>
        <w:tc>
          <w:tcPr>
            <w:tcW w:type="dxa" w:w="2088"/>
            <w:tcMar>
              <w:top w:w="20" w:type="dxa"/>
              <w:bottom w:w="20" w:type="dxa"/>
              <w:left w:w="55" w:type="dxa"/>
              <w:right w:w="55" w:type="dxa"/>
            </w:tcMar>
            <w:vAlign w:val="center"/>
          </w:tcPr>
          <w:p>
            <w:pPr>
              <w:spacing w:before="0" w:after="0" w:line="240" w:lineRule="auto"/>
              <w:jc w:val="left"/>
            </w:pPr>
            <w:r>
              <w:rPr>
                <w:rFonts w:ascii="Times New Roman" w:hAnsi="Times New Roman"/>
                <w:b/>
                <w:i w:val="0"/>
                <w:sz w:val="20"/>
              </w:rPr>
              <w:t>Huzaifa</w:t>
            </w:r>
          </w:p>
        </w:tc>
        <w:tc>
          <w:tcPr>
            <w:tcW w:type="dxa" w:w="2088"/>
            <w:tcMar>
              <w:top w:w="20" w:type="dxa"/>
              <w:bottom w:w="20" w:type="dxa"/>
              <w:left w:w="55" w:type="dxa"/>
              <w:right w:w="55" w:type="dxa"/>
            </w:tcMar>
            <w:vAlign w:val="center"/>
          </w:tcPr>
          <w:p>
            <w:pPr>
              <w:spacing w:before="0" w:after="0" w:line="240" w:lineRule="auto"/>
              <w:jc w:val="center"/>
            </w:pPr>
            <w:r>
              <w:rPr>
                <w:rFonts w:ascii="Times New Roman" w:hAnsi="Times New Roman"/>
                <w:b w:val="0"/>
                <w:i w:val="0"/>
                <w:sz w:val="20"/>
              </w:rPr>
              <w:t>SU92-BSCSM-F25-408</w:t>
            </w:r>
          </w:p>
        </w:tc>
        <w:tc>
          <w:tcPr>
            <w:tcW w:type="dxa" w:w="453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20"/>
              </w:rPr>
              <w:t xml:space="preserve">Built the two-tier identity and gradient-boosting models for fair fares and pace classification, designed the Week-4 holdout evaluation and success thresholds, produced the charts, and maintained the GitHub repository. Led the </w:t>
            </w:r>
            <w:r>
              <w:rPr>
                <w:rFonts w:ascii="Times New Roman" w:hAnsi="Times New Roman"/>
                <w:b/>
                <w:i w:val="0"/>
                <w:sz w:val="20"/>
              </w:rPr>
              <w:t>Model</w:t>
            </w:r>
            <w:r>
              <w:rPr>
                <w:rFonts w:ascii="Times New Roman" w:hAnsi="Times New Roman"/>
                <w:b w:val="0"/>
                <w:i w:val="0"/>
                <w:sz w:val="20"/>
              </w:rPr>
              <w:t xml:space="preserve"> and </w:t>
            </w:r>
            <w:r>
              <w:rPr>
                <w:rFonts w:ascii="Times New Roman" w:hAnsi="Times New Roman"/>
                <w:b/>
                <w:i w:val="0"/>
                <w:sz w:val="20"/>
              </w:rPr>
              <w:t>Evaluate</w:t>
            </w:r>
            <w:r>
              <w:rPr>
                <w:rFonts w:ascii="Times New Roman" w:hAnsi="Times New Roman"/>
                <w:b w:val="0"/>
                <w:i w:val="0"/>
                <w:sz w:val="20"/>
              </w:rPr>
              <w:t xml:space="preserve"> stages.</w:t>
            </w:r>
          </w:p>
        </w:tc>
      </w:tr>
    </w:tbl>
    <w:p>
      <w:pPr>
        <w:keepNext/>
        <w:spacing w:before="120" w:after="40"/>
      </w:pPr>
      <w:r>
        <w:rPr>
          <w:rFonts w:ascii="Times New Roman" w:hAnsi="Times New Roman"/>
          <w:b/>
          <w:i w:val="0"/>
          <w:color w:val="1B365D"/>
          <w:sz w:val="24"/>
        </w:rPr>
        <w:t>Lifecycle Ownership Matrix</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1247"/>
        <w:gridCol w:w="1247"/>
        <w:gridCol w:w="1247"/>
        <w:gridCol w:w="1247"/>
        <w:gridCol w:w="1247"/>
        <w:gridCol w:w="1247"/>
        <w:gridCol w:w="1247"/>
        <w:gridCol w:w="1247"/>
      </w:tblGrid>
      <w:tr>
        <w:tc>
          <w:tcPr>
            <w:tcW w:type="dxa" w:w="1247"/>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9"/>
              </w:rPr>
              <w:t>Member</w:t>
            </w:r>
          </w:p>
        </w:tc>
        <w:tc>
          <w:tcPr>
            <w:tcW w:type="dxa" w:w="1247"/>
            <w:shd w:fill="1B365D"/>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Define</w:t>
            </w:r>
          </w:p>
        </w:tc>
        <w:tc>
          <w:tcPr>
            <w:tcW w:type="dxa" w:w="1247"/>
            <w:shd w:fill="1B365D"/>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Collect</w:t>
            </w:r>
          </w:p>
        </w:tc>
        <w:tc>
          <w:tcPr>
            <w:tcW w:type="dxa" w:w="1247"/>
            <w:shd w:fill="1B365D"/>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Clean</w:t>
            </w:r>
          </w:p>
        </w:tc>
        <w:tc>
          <w:tcPr>
            <w:tcW w:type="dxa" w:w="1247"/>
            <w:shd w:fill="1B365D"/>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Explore</w:t>
            </w:r>
          </w:p>
        </w:tc>
        <w:tc>
          <w:tcPr>
            <w:tcW w:type="dxa" w:w="1247"/>
            <w:shd w:fill="1B365D"/>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Model</w:t>
            </w:r>
          </w:p>
        </w:tc>
        <w:tc>
          <w:tcPr>
            <w:tcW w:type="dxa" w:w="1247"/>
            <w:shd w:fill="1B365D"/>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Evaluate</w:t>
            </w:r>
          </w:p>
        </w:tc>
        <w:tc>
          <w:tcPr>
            <w:tcW w:type="dxa" w:w="1247"/>
            <w:shd w:fill="1B365D"/>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Deploy</w:t>
            </w:r>
          </w:p>
        </w:tc>
      </w:tr>
      <w:tr>
        <w:tc>
          <w:tcPr>
            <w:tcW w:type="dxa" w:w="124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9"/>
              </w:rPr>
              <w:t>M. Saad Hussain</w:t>
            </w:r>
          </w:p>
        </w:tc>
        <w:tc>
          <w:tcPr>
            <w:tcW w:type="dxa" w:w="1247"/>
            <w:shd w:fill="1F7A7A"/>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1F7A7A"/>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F8FAFC"/>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34155"/>
                <w:sz w:val="19"/>
              </w:rPr>
              <w:t>Review</w:t>
            </w:r>
          </w:p>
        </w:tc>
        <w:tc>
          <w:tcPr>
            <w:tcW w:type="dxa" w:w="1247"/>
            <w:shd w:fill="E6F2F2"/>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1F7A7A"/>
                <w:sz w:val="19"/>
              </w:rPr>
              <w:t>Support</w:t>
            </w:r>
          </w:p>
        </w:tc>
        <w:tc>
          <w:tcPr>
            <w:tcW w:type="dxa" w:w="1247"/>
            <w:shd w:fill="F8FAFC"/>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34155"/>
                <w:sz w:val="19"/>
              </w:rPr>
              <w:t>Review</w:t>
            </w:r>
          </w:p>
        </w:tc>
        <w:tc>
          <w:tcPr>
            <w:tcW w:type="dxa" w:w="1247"/>
            <w:shd w:fill="E6F2F2"/>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1F7A7A"/>
                <w:sz w:val="19"/>
              </w:rPr>
              <w:t>Support</w:t>
            </w:r>
          </w:p>
        </w:tc>
        <w:tc>
          <w:tcPr>
            <w:tcW w:type="dxa" w:w="1247"/>
            <w:shd w:fill="1F7A7A"/>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r>
      <w:tr>
        <w:tc>
          <w:tcPr>
            <w:tcW w:type="dxa" w:w="124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9"/>
              </w:rPr>
              <w:t>M. Khubaib</w:t>
            </w:r>
          </w:p>
        </w:tc>
        <w:tc>
          <w:tcPr>
            <w:tcW w:type="dxa" w:w="1247"/>
            <w:shd w:fill="E6F2F2"/>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1F7A7A"/>
                <w:sz w:val="19"/>
              </w:rPr>
              <w:t>Support</w:t>
            </w:r>
          </w:p>
        </w:tc>
        <w:tc>
          <w:tcPr>
            <w:tcW w:type="dxa" w:w="1247"/>
            <w:shd w:fill="E6F2F2"/>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1F7A7A"/>
                <w:sz w:val="19"/>
              </w:rPr>
              <w:t>Support</w:t>
            </w:r>
          </w:p>
        </w:tc>
        <w:tc>
          <w:tcPr>
            <w:tcW w:type="dxa" w:w="1247"/>
            <w:shd w:fill="1F7A7A"/>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1F7A7A"/>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E6F2F2"/>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1F7A7A"/>
                <w:sz w:val="19"/>
              </w:rPr>
              <w:t>Support</w:t>
            </w:r>
          </w:p>
        </w:tc>
        <w:tc>
          <w:tcPr>
            <w:tcW w:type="dxa" w:w="1247"/>
            <w:shd w:fill="F8FAFC"/>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34155"/>
                <w:sz w:val="19"/>
              </w:rPr>
              <w:t>Review</w:t>
            </w:r>
          </w:p>
        </w:tc>
        <w:tc>
          <w:tcPr>
            <w:tcW w:type="dxa" w:w="1247"/>
            <w:shd w:fill="F8FAFC"/>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34155"/>
                <w:sz w:val="19"/>
              </w:rPr>
              <w:t>Review</w:t>
            </w:r>
          </w:p>
        </w:tc>
      </w:tr>
      <w:tr>
        <w:tc>
          <w:tcPr>
            <w:tcW w:type="dxa" w:w="124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9"/>
              </w:rPr>
              <w:t>Huzaifa</w:t>
            </w:r>
          </w:p>
        </w:tc>
        <w:tc>
          <w:tcPr>
            <w:tcW w:type="dxa" w:w="1247"/>
            <w:shd w:fill="F8FAFC"/>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34155"/>
                <w:sz w:val="19"/>
              </w:rPr>
              <w:t>Review</w:t>
            </w:r>
          </w:p>
        </w:tc>
        <w:tc>
          <w:tcPr>
            <w:tcW w:type="dxa" w:w="1247"/>
            <w:shd w:fill="F8FAFC"/>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34155"/>
                <w:sz w:val="19"/>
              </w:rPr>
              <w:t>Review</w:t>
            </w:r>
          </w:p>
        </w:tc>
        <w:tc>
          <w:tcPr>
            <w:tcW w:type="dxa" w:w="1247"/>
            <w:shd w:fill="E6F2F2"/>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1F7A7A"/>
                <w:sz w:val="19"/>
              </w:rPr>
              <w:t>Support</w:t>
            </w:r>
          </w:p>
        </w:tc>
        <w:tc>
          <w:tcPr>
            <w:tcW w:type="dxa" w:w="1247"/>
            <w:shd w:fill="F8FAFC"/>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34155"/>
                <w:sz w:val="19"/>
              </w:rPr>
              <w:t>Review</w:t>
            </w:r>
          </w:p>
        </w:tc>
        <w:tc>
          <w:tcPr>
            <w:tcW w:type="dxa" w:w="1247"/>
            <w:shd w:fill="1F7A7A"/>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1F7A7A"/>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E6F2F2"/>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1F7A7A"/>
                <w:sz w:val="19"/>
              </w:rPr>
              <w:t>Support</w:t>
            </w:r>
          </w:p>
        </w:tc>
      </w:tr>
    </w:tbl>
    <w:p>
      <w:pPr>
        <w:keepNext/>
        <w:spacing w:before="120" w:after="40"/>
      </w:pPr>
      <w:r>
        <w:rPr>
          <w:rFonts w:ascii="Times New Roman" w:hAnsi="Times New Roman"/>
          <w:b/>
          <w:i w:val="0"/>
          <w:color w:val="1B365D"/>
          <w:sz w:val="24"/>
        </w:rPr>
        <w:t>Deliverables Submitted</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4989"/>
        <w:gridCol w:w="4989"/>
      </w:tblGrid>
      <w:tr>
        <w:tc>
          <w:tcPr>
            <w:tcW w:type="dxa" w:w="3168"/>
            <w:shd w:fill="F8FAFC"/>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This report (PDF &amp; DOCX, 6 pp.)</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Case-study story, 7-stage lifecycle extraction, mock pilot findings and deployment proposal.</w:t>
            </w:r>
          </w:p>
        </w:tc>
      </w:tr>
      <w:tr>
        <w:tc>
          <w:tcPr>
            <w:tcW w:type="dxa" w:w="3168"/>
            <w:shd w:fill="F8FAFC"/>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Mock dataset</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1,224 Qingqi ride submissions, 1,200 scans and 411,829 GPS pings from 40 simulated drivers (data/).</w:t>
            </w:r>
          </w:p>
        </w:tc>
      </w:tr>
      <w:tr>
        <w:tc>
          <w:tcPr>
            <w:tcW w:type="dxa" w:w="3168"/>
            <w:shd w:fill="F8FAFC"/>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Reproducible code</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Data generator, cleaning and modelling pipeline, and figure scripts in Python (src/).</w:t>
            </w:r>
          </w:p>
        </w:tc>
      </w:tr>
      <w:tr>
        <w:tc>
          <w:tcPr>
            <w:tcW w:type="dxa" w:w="3168"/>
            <w:shd w:fill="F8FAFC"/>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GitHub Repository</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https://github.com/ZEKT-VII/RahiScan-DS-Proposal</w:t>
            </w:r>
          </w:p>
        </w:tc>
      </w:tr>
    </w:tbl>
    <w:p>
      <w:pPr>
        <w:spacing w:before="160" w:after="0" w:line="245" w:lineRule="auto"/>
        <w:jc w:val="left"/>
      </w:pPr>
      <w:r>
        <w:rPr>
          <w:rFonts w:ascii="Times New Roman" w:hAnsi="Times New Roman"/>
          <w:b w:val="0"/>
          <w:i w:val="0"/>
          <w:color w:val="334155"/>
          <w:sz w:val="20"/>
        </w:rPr>
        <w:br/>
        <w:t>__________________________                __________________________                __________________________</w:t>
        <w:br/>
      </w:r>
      <w:r>
        <w:rPr>
          <w:rFonts w:ascii="Times New Roman" w:hAnsi="Times New Roman"/>
          <w:b w:val="0"/>
          <w:i w:val="0"/>
          <w:color w:val="334155"/>
          <w:sz w:val="20"/>
        </w:rPr>
        <w:t>M. Saad Hussain                                        M. Khubaib                                                Huzaifa</w:t>
      </w:r>
    </w:p>
    <w:p>
      <w:pPr>
        <w:keepNext/>
        <w:pageBreakBefore/>
        <w:spacing w:before="60" w:after="30"/>
        <w:pBdr>
          <w:bottom w:val="single" w:sz="8" w:space="1" w:color="1F7A7A"/>
        </w:pBdr>
      </w:pPr>
      <w:r>
        <w:rPr>
          <w:rFonts w:ascii="Times New Roman" w:hAnsi="Times New Roman"/>
          <w:b/>
          <w:i w:val="0"/>
          <w:color w:val="1B365D"/>
          <w:sz w:val="32"/>
        </w:rPr>
        <w:t>1. The Case Study: A Morning on Raiwind Road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5760"/>
            <w:tcMar>
              <w:top w:w="10" w:type="dxa"/>
              <w:bottom w:w="10" w:type="dxa"/>
              <w:left w:w="0" w:type="dxa"/>
              <w:right w:w="80" w:type="dxa"/>
            </w:tcMar>
          </w:tcPr>
          <w:p>
            <w:pPr>
              <w:spacing w:after="40" w:line="235" w:lineRule="auto"/>
              <w:jc w:val="both"/>
            </w:pPr>
            <w:r>
              <w:rPr>
                <w:rFonts w:ascii="Times New Roman" w:hAnsi="Times New Roman"/>
                <w:b w:val="0"/>
                <w:i w:val="0"/>
                <w:sz w:val="24"/>
              </w:rPr>
              <w:t xml:space="preserve">It is 7:40 on a Monday in Johar Town and we have an 8:30 lab at </w:t>
            </w:r>
            <w:r>
              <w:rPr>
                <w:rFonts w:ascii="Times New Roman" w:hAnsi="Times New Roman"/>
                <w:b/>
                <w:i w:val="0"/>
                <w:sz w:val="24"/>
              </w:rPr>
              <w:t>Superior University Gold Campus</w:t>
            </w:r>
            <w:r>
              <w:rPr>
                <w:rFonts w:ascii="Times New Roman" w:hAnsi="Times New Roman"/>
                <w:b w:val="0"/>
                <w:i w:val="0"/>
                <w:sz w:val="24"/>
              </w:rPr>
              <w:t xml:space="preserve"> on Raiwind Road (9.6 km). The first </w:t>
            </w:r>
            <w:r>
              <w:rPr>
                <w:rFonts w:ascii="Times New Roman" w:hAnsi="Times New Roman"/>
                <w:b/>
                <w:i w:val="0"/>
                <w:sz w:val="24"/>
              </w:rPr>
              <w:t>Qingqi rickshaw</w:t>
            </w:r>
            <w:r>
              <w:rPr>
                <w:rFonts w:ascii="Times New Roman" w:hAnsi="Times New Roman"/>
                <w:b w:val="0"/>
                <w:i w:val="0"/>
                <w:sz w:val="24"/>
              </w:rPr>
              <w:t xml:space="preserve"> quotes 140 rupees; we bargain down to 110 and board. The driver then crawls along the left lane, stops for tea at a roadside dhaba “for one minute”, and delivers us twelve minutes late. The next morning a different Qingqi driver covers the same 9.6 km route to Superior University Gold Campus for the standard </w:t>
            </w:r>
            <w:r>
              <w:rPr>
                <w:rFonts w:ascii="Times New Roman" w:hAnsi="Times New Roman"/>
                <w:b/>
                <w:i w:val="0"/>
                <w:sz w:val="24"/>
              </w:rPr>
              <w:t>80 rupees</w:t>
            </w:r>
            <w:r>
              <w:rPr>
                <w:rFonts w:ascii="Times New Roman" w:hAnsi="Times New Roman"/>
                <w:b w:val="0"/>
                <w:i w:val="0"/>
                <w:sz w:val="24"/>
              </w:rPr>
              <w:t xml:space="preserve"> in twenty minutes despite heavier traffic (similarly, the 16.1 km ride from </w:t>
            </w:r>
            <w:r>
              <w:rPr>
                <w:rFonts w:ascii="Times New Roman" w:hAnsi="Times New Roman"/>
                <w:b/>
                <w:i w:val="0"/>
                <w:sz w:val="24"/>
              </w:rPr>
              <w:t>Raiwind</w:t>
            </w:r>
            <w:r>
              <w:rPr>
                <w:rFonts w:ascii="Times New Roman" w:hAnsi="Times New Roman"/>
                <w:b w:val="0"/>
                <w:i w:val="0"/>
                <w:sz w:val="24"/>
              </w:rPr>
              <w:t xml:space="preserve"> to Gold Campus costs about </w:t>
            </w:r>
            <w:r>
              <w:rPr>
                <w:rFonts w:ascii="Times New Roman" w:hAnsi="Times New Roman"/>
                <w:b/>
                <w:i w:val="0"/>
                <w:sz w:val="24"/>
              </w:rPr>
              <w:t>120 rupees</w:t>
            </w:r>
            <w:r>
              <w:rPr>
                <w:rFonts w:ascii="Times New Roman" w:hAnsi="Times New Roman"/>
                <w:b w:val="0"/>
                <w:i w:val="0"/>
                <w:sz w:val="24"/>
              </w:rPr>
              <w:t>, and inner-city Lahore routes average 40–85 rupees).</w:t>
              <w:br/>
              <w:t xml:space="preserve">Lahore's Qingqi motorcycle-rickshaws lack meters, leaving commuters unable to tell at the curb whether a quote is inflated or whether a driver is habitually slow. We propose </w:t>
            </w:r>
            <w:r>
              <w:rPr>
                <w:rFonts w:ascii="Times New Roman" w:hAnsi="Times New Roman"/>
                <w:b/>
                <w:i w:val="0"/>
                <w:sz w:val="24"/>
              </w:rPr>
              <w:t>RahiScan</w:t>
            </w:r>
            <w:r>
              <w:rPr>
                <w:rFonts w:ascii="Times New Roman" w:hAnsi="Times New Roman"/>
                <w:b w:val="0"/>
                <w:i w:val="0"/>
                <w:sz w:val="24"/>
              </w:rPr>
              <w:t>, a crowd-sourced mobile app where passengers photograph a Qingqi rickshaw before boarding (Figure 1), fusing number-plate OCR with driver facial recognition, enter the quoted fare, and log 5-second GPS pings until arrival.</w:t>
            </w:r>
          </w:p>
        </w:tc>
        <w:tc>
          <w:tcPr>
            <w:tcW w:type="dxa" w:w="4176"/>
            <w:tcMar>
              <w:top w:w="10" w:type="dxa"/>
              <w:bottom w:w="10" w:type="dxa"/>
              <w:left w:w="40" w:type="dxa"/>
              <w:right w:w="0" w:type="dxa"/>
            </w:tcMar>
          </w:tcPr>
          <w:p>
            <w:pPr>
              <w:spacing w:after="40"/>
              <w:jc w:val="center"/>
            </w:pPr>
            <w:r>
              <w:drawing>
                <wp:inline xmlns:a="http://schemas.openxmlformats.org/drawingml/2006/main" xmlns:pic="http://schemas.openxmlformats.org/drawingml/2006/picture">
                  <wp:extent cx="2514600" cy="1403498"/>
                  <wp:docPr id="1" name="Picture 1"/>
                  <wp:cNvGraphicFramePr>
                    <a:graphicFrameLocks noChangeAspect="1"/>
                  </wp:cNvGraphicFramePr>
                  <a:graphic>
                    <a:graphicData uri="http://schemas.openxmlformats.org/drawingml/2006/picture">
                      <pic:pic>
                        <pic:nvPicPr>
                          <pic:cNvPr id="0" name="hero_scan.jpg"/>
                          <pic:cNvPicPr/>
                        </pic:nvPicPr>
                        <pic:blipFill>
                          <a:blip r:embed="rId11"/>
                          <a:stretch>
                            <a:fillRect/>
                          </a:stretch>
                        </pic:blipFill>
                        <pic:spPr>
                          <a:xfrm>
                            <a:off x="0" y="0"/>
                            <a:ext cx="2514600" cy="1403498"/>
                          </a:xfrm>
                          <a:prstGeom prst="rect"/>
                        </pic:spPr>
                      </pic:pic>
                    </a:graphicData>
                  </a:graphic>
                </wp:inline>
              </w:drawing>
            </w:r>
          </w:p>
          <w:p>
            <w:pPr>
              <w:spacing w:before="20" w:after="0"/>
            </w:pPr>
            <w:r>
              <w:rPr>
                <w:rFonts w:ascii="Times New Roman" w:hAnsi="Times New Roman"/>
                <w:b/>
                <w:i w:val="0"/>
                <w:color w:val="1B365D"/>
                <w:sz w:val="17"/>
              </w:rPr>
              <w:t xml:space="preserve">Figure 1: </w:t>
            </w:r>
            <w:r>
              <w:rPr>
                <w:rFonts w:ascii="Times New Roman" w:hAnsi="Times New Roman"/>
                <w:b w:val="0"/>
                <w:i w:val="0"/>
                <w:color w:val="334155"/>
                <w:sz w:val="17"/>
              </w:rPr>
              <w:t>Curbside AR scan of a Pakistani Qingqi rickshaw reading the plate (teal) and driver face (steel-blue).</w:t>
            </w:r>
          </w:p>
        </w:tc>
      </w:tr>
    </w:tbl>
    <w:p>
      <w:pPr>
        <w:keepNext/>
        <w:spacing w:before="60" w:after="30"/>
        <w:pBdr>
          <w:bottom w:val="single" w:sz="8" w:space="1" w:color="1F7A7A"/>
        </w:pBdr>
      </w:pPr>
      <w:r>
        <w:rPr>
          <w:rFonts w:ascii="Times New Roman" w:hAnsi="Times New Roman"/>
          <w:b/>
          <w:i w:val="0"/>
          <w:color w:val="1B365D"/>
          <w:sz w:val="32"/>
        </w:rPr>
        <w:t>2. Extracting the Data Science Lifecycle from the Story</w:t>
      </w:r>
    </w:p>
    <w:p>
      <w:pPr>
        <w:spacing w:before="20" w:after="20"/>
        <w:jc w:val="center"/>
      </w:pPr>
      <w:r>
        <w:drawing>
          <wp:inline xmlns:a="http://schemas.openxmlformats.org/drawingml/2006/main" xmlns:pic="http://schemas.openxmlformats.org/drawingml/2006/picture">
            <wp:extent cx="6126480" cy="887187"/>
            <wp:docPr id="2" name="Picture 2"/>
            <wp:cNvGraphicFramePr>
              <a:graphicFrameLocks noChangeAspect="1"/>
            </wp:cNvGraphicFramePr>
            <a:graphic>
              <a:graphicData uri="http://schemas.openxmlformats.org/drawingml/2006/picture">
                <pic:pic>
                  <pic:nvPicPr>
                    <pic:cNvPr id="0" name="fig_lifecycle_tikz.png"/>
                    <pic:cNvPicPr/>
                  </pic:nvPicPr>
                  <pic:blipFill>
                    <a:blip r:embed="rId12"/>
                    <a:stretch>
                      <a:fillRect/>
                    </a:stretch>
                  </pic:blipFill>
                  <pic:spPr>
                    <a:xfrm>
                      <a:off x="0" y="0"/>
                      <a:ext cx="6126480" cy="887187"/>
                    </a:xfrm>
                    <a:prstGeom prst="rect"/>
                  </pic:spPr>
                </pic:pic>
              </a:graphicData>
            </a:graphic>
          </wp:inline>
        </w:drawing>
      </w:r>
    </w:p>
    <w:p>
      <w:pPr>
        <w:spacing w:before="20" w:after="60"/>
        <w:jc w:val="left"/>
      </w:pPr>
      <w:r>
        <w:rPr>
          <w:rFonts w:ascii="Times New Roman" w:hAnsi="Times New Roman"/>
          <w:b/>
          <w:i w:val="0"/>
          <w:color w:val="1B365D"/>
          <w:sz w:val="18"/>
        </w:rPr>
        <w:t xml:space="preserve">Figure 2: </w:t>
      </w:r>
      <w:r>
        <w:rPr>
          <w:rFonts w:ascii="Times New Roman" w:hAnsi="Times New Roman"/>
          <w:b w:val="0"/>
          <w:i w:val="0"/>
          <w:color w:val="334155"/>
          <w:sz w:val="18"/>
        </w:rPr>
        <w:t>The seven-stage Data Science Lifecycle mapped to RahiScan's guiding questions and planned actions.</w:t>
      </w:r>
    </w:p>
    <w:p>
      <w:pPr>
        <w:spacing w:before="20" w:after="60"/>
        <w:jc w:val="left"/>
      </w:pPr>
      <w:r>
        <w:rPr>
          <w:rFonts w:ascii="Times New Roman" w:hAnsi="Times New Roman"/>
          <w:b/>
          <w:i w:val="0"/>
          <w:color w:val="1B365D"/>
          <w:sz w:val="18"/>
        </w:rPr>
        <w:t xml:space="preserve">Table 1: </w:t>
      </w:r>
      <w:r>
        <w:rPr>
          <w:rFonts w:ascii="Times New Roman" w:hAnsi="Times New Roman"/>
          <w:b w:val="0"/>
          <w:i w:val="0"/>
          <w:color w:val="334155"/>
          <w:sz w:val="18"/>
        </w:rPr>
        <w:t>Data science problems extracted directly from the morning commute story.</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3326"/>
        <w:gridCol w:w="3326"/>
        <w:gridCol w:w="3326"/>
      </w:tblGrid>
      <w:tr>
        <w:tc>
          <w:tcPr>
            <w:tcW w:type="dxa" w:w="3326"/>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8"/>
              </w:rPr>
              <w:t>Stage</w:t>
            </w:r>
          </w:p>
        </w:tc>
        <w:tc>
          <w:tcPr>
            <w:tcW w:type="dxa" w:w="3326"/>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8"/>
              </w:rPr>
              <w:t>Moment in the story</w:t>
            </w:r>
          </w:p>
        </w:tc>
        <w:tc>
          <w:tcPr>
            <w:tcW w:type="dxa" w:w="3326"/>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8"/>
              </w:rPr>
              <w:t>Data science problem it raises and proposed solution</w:t>
            </w:r>
          </w:p>
        </w:tc>
      </w:tr>
      <w:tr>
        <w:tc>
          <w:tcPr>
            <w:tcW w:type="dxa" w:w="1152"/>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Define</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“We could not tell the two drivers apart.”</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Replace subjective complaints with two traffic- and route-normalised ratios: Pace Index Π and Fare Ratio Φ.</w:t>
            </w:r>
          </w:p>
        </w:tc>
      </w:tr>
      <w:tr>
        <w:tc>
          <w:tcPr>
            <w:tcW w:type="dxa" w:w="1152"/>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Collect</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“Every bad ride leaves data nobody records.”</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Capture Qingqi plate+face scans, quoted fares, 5-s GPS/accelerometer traces, and corridor fare benchmarks.</w:t>
            </w:r>
          </w:p>
        </w:tc>
      </w:tr>
      <w:tr>
        <w:tc>
          <w:tcPr>
            <w:tcW w:type="dxa" w:w="1152"/>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Clean</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“We walked into the lab twelve minutes late.”</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Trim pedestrian walking tails when users forget End Ride; fuse OCR and face embeddings; drop duplicates/typos.</w:t>
            </w:r>
          </w:p>
        </w:tc>
      </w:tr>
      <w:tr>
        <w:tc>
          <w:tcPr>
            <w:tcW w:type="dxa" w:w="1152"/>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Explore</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“...even though the traffic was worse.”</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Separate road congestion from driver habit by comparing trip speed against corridor-hour median speed v_base.</w:t>
            </w:r>
          </w:p>
        </w:tc>
      </w:tr>
      <w:tr>
        <w:tc>
          <w:tcPr>
            <w:tcW w:type="dxa" w:w="1152"/>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Model</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“A different driver took the same route.”</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Resolve shared-Qingqi drivers via biometric fusion and predict fair fares and pace classes with gradient boosting.</w:t>
            </w:r>
          </w:p>
        </w:tc>
      </w:tr>
      <w:tr>
        <w:tc>
          <w:tcPr>
            <w:tcW w:type="dxa" w:w="1152"/>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Evaluate</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“Stuck in traffic is not a slow driver.”</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Test on an unseen Week-4 holdout to measure false flags on single rides versus multi-ride driver profiles.</w:t>
            </w:r>
          </w:p>
        </w:tc>
      </w:tr>
      <w:tr>
        <w:tc>
          <w:tcPr>
            <w:tcW w:type="dxa" w:w="1152"/>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Deploy</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“We had to decide at the curb, in seconds.”</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Return a colour-coded scorecard in under 2 seconds, gated behind a 5-ride minimum and monthly fare retraining.</w:t>
            </w:r>
          </w:p>
        </w:tc>
      </w:tr>
    </w:tbl>
    <w:p>
      <w:pPr>
        <w:spacing w:before="40" w:after="20"/>
        <w:jc w:val="center"/>
      </w:pPr>
      <w:r>
        <w:drawing>
          <wp:inline xmlns:a="http://schemas.openxmlformats.org/drawingml/2006/main" xmlns:pic="http://schemas.openxmlformats.org/drawingml/2006/picture">
            <wp:extent cx="5669280" cy="954235"/>
            <wp:docPr id="3" name="Picture 3"/>
            <wp:cNvGraphicFramePr>
              <a:graphicFrameLocks noChangeAspect="1"/>
            </wp:cNvGraphicFramePr>
            <a:graphic>
              <a:graphicData uri="http://schemas.openxmlformats.org/drawingml/2006/picture">
                <pic:pic>
                  <pic:nvPicPr>
                    <pic:cNvPr id="0" name="fig_arch_tikz.png"/>
                    <pic:cNvPicPr/>
                  </pic:nvPicPr>
                  <pic:blipFill>
                    <a:blip r:embed="rId13"/>
                    <a:stretch>
                      <a:fillRect/>
                    </a:stretch>
                  </pic:blipFill>
                  <pic:spPr>
                    <a:xfrm>
                      <a:off x="0" y="0"/>
                      <a:ext cx="5669280" cy="954235"/>
                    </a:xfrm>
                    <a:prstGeom prst="rect"/>
                  </pic:spPr>
                </pic:pic>
              </a:graphicData>
            </a:graphic>
          </wp:inline>
        </w:drawing>
      </w:r>
    </w:p>
    <w:p>
      <w:pPr>
        <w:spacing w:before="20" w:after="60"/>
        <w:jc w:val="left"/>
      </w:pPr>
      <w:r>
        <w:rPr>
          <w:rFonts w:ascii="Times New Roman" w:hAnsi="Times New Roman"/>
          <w:b/>
          <w:i w:val="0"/>
          <w:color w:val="1B365D"/>
          <w:sz w:val="18"/>
        </w:rPr>
        <w:t xml:space="preserve">Figure 3: </w:t>
      </w:r>
      <w:r>
        <w:rPr>
          <w:rFonts w:ascii="Times New Roman" w:hAnsi="Times New Roman"/>
          <w:b w:val="0"/>
          <w:i w:val="0"/>
          <w:color w:val="334155"/>
          <w:sz w:val="18"/>
        </w:rPr>
        <w:t>End-to-end RahiScan architecture illustrated with simulated Qingqi driver D27 on the 9.6 km Superior Gold Campus route.</w:t>
      </w:r>
    </w:p>
    <w:p>
      <w:pPr>
        <w:keepNext/>
        <w:pageBreakBefore/>
        <w:spacing w:before="60" w:after="30"/>
        <w:pBdr>
          <w:bottom w:val="single" w:sz="8" w:space="1" w:color="1F7A7A"/>
        </w:pBdr>
      </w:pPr>
      <w:r>
        <w:rPr>
          <w:rFonts w:ascii="Times New Roman" w:hAnsi="Times New Roman"/>
          <w:b/>
          <w:i w:val="0"/>
          <w:color w:val="1B365D"/>
          <w:sz w:val="32"/>
        </w:rPr>
        <w:t>3. Define: Turning Frustration into Measurable Targets</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2F7"/>
            <w:tcMar>
              <w:top w:w="30" w:type="dxa"/>
              <w:bottom w:w="30" w:type="dxa"/>
              <w:left w:w="80" w:type="dxa"/>
              <w:right w:w="80" w:type="dxa"/>
            </w:tcMar>
          </w:tcPr>
          <w:p>
            <w:pPr>
              <w:spacing w:before="0" w:after="0"/>
            </w:pPr>
            <w:r>
              <w:rPr>
                <w:rFonts w:ascii="Times New Roman" w:hAnsi="Times New Roman"/>
                <w:b/>
                <w:i w:val="0"/>
                <w:color w:val="1B365D"/>
                <w:sz w:val="28"/>
              </w:rPr>
              <w:t>Stage 1 · DEFINE</w:t>
            </w:r>
          </w:p>
        </w:tc>
        <w:tc>
          <w:tcPr>
            <w:tcW w:type="dxa" w:w="5472"/>
            <w:shd w:fill="EBF2F7"/>
            <w:tcMar>
              <w:top w:w="30" w:type="dxa"/>
              <w:bottom w:w="30" w:type="dxa"/>
              <w:left w:w="80" w:type="dxa"/>
              <w:right w:w="80" w:type="dxa"/>
            </w:tcMar>
          </w:tcPr>
          <w:p>
            <w:pPr>
              <w:spacing w:before="0" w:after="0"/>
              <w:jc w:val="right"/>
            </w:pPr>
            <w:r>
              <w:rPr>
                <w:rFonts w:ascii="Times New Roman" w:hAnsi="Times New Roman"/>
                <w:b w:val="0"/>
                <w:i/>
                <w:color w:val="334155"/>
                <w:sz w:val="24"/>
              </w:rPr>
              <w:t>What problem should be solved?</w:t>
            </w:r>
          </w:p>
        </w:tc>
      </w:tr>
    </w:tbl>
    <w:p>
      <w:pPr>
        <w:spacing w:before="0" w:after="60" w:line="245" w:lineRule="auto"/>
        <w:jc w:val="both"/>
      </w:pPr>
      <w:r>
        <w:rPr>
          <w:rFonts w:ascii="Times New Roman" w:hAnsi="Times New Roman"/>
          <w:b w:val="0"/>
          <w:i w:val="0"/>
          <w:sz w:val="24"/>
        </w:rPr>
        <w:t>To replace subjective complaints with testable metrics, we define two dimensionless ratios for every Qingqi ride i, where 1.0 represents typical behaviour on that corridor and hour, and fix badge thresholds prior to data collection (Table 2):</w:t>
      </w:r>
    </w:p>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4989"/>
        <w:gridCol w:w="4989"/>
      </w:tblGrid>
      <w:tr>
        <w:tc>
          <w:tcPr>
            <w:tcW w:type="dxa" w:w="4989"/>
            <w:shd w:fill="F8FAFC"/>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B365D"/>
                <w:sz w:val="20"/>
              </w:rPr>
              <w:t>Driving Pace Index (Π_i)</w:t>
              <w:br/>
            </w:r>
            <w:r>
              <w:rPr>
                <w:rFonts w:ascii="Times New Roman" w:hAnsi="Times New Roman"/>
                <w:b/>
                <w:i w:val="0"/>
                <w:color w:val="334155"/>
                <w:sz w:val="18"/>
              </w:rPr>
              <w:t>Π_i = v_obs,i / v_base,i = (d_i / t_i) / median(v_obs on corridor, hour)</w:t>
              <w:br/>
            </w:r>
            <w:r>
              <w:rPr>
                <w:rFonts w:ascii="Times New Roman" w:hAnsi="Times New Roman"/>
                <w:b w:val="0"/>
                <w:i w:val="0"/>
                <w:color w:val="334155"/>
                <w:sz w:val="17"/>
              </w:rPr>
              <w:t>Π = 0.60 means moving 40% slower than peer Qingqi rickshaws on the same road and hour.</w:t>
            </w:r>
          </w:p>
        </w:tc>
        <w:tc>
          <w:tcPr>
            <w:tcW w:type="dxa" w:w="4989"/>
            <w:shd w:fill="F8FAFC"/>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F7A7A"/>
                <w:sz w:val="20"/>
              </w:rPr>
              <w:t>Fare Fairness Ratio (Φ_i)</w:t>
              <w:br/>
            </w:r>
            <w:r>
              <w:rPr>
                <w:rFonts w:ascii="Times New Roman" w:hAnsi="Times New Roman"/>
                <w:b/>
                <w:i w:val="0"/>
                <w:color w:val="334155"/>
                <w:sz w:val="18"/>
              </w:rPr>
              <w:t>Φ_i = Fare_quoted,i / Fare_fair,i</w:t>
              <w:br/>
            </w:r>
            <w:r>
              <w:rPr>
                <w:rFonts w:ascii="Times New Roman" w:hAnsi="Times New Roman"/>
                <w:b w:val="0"/>
                <w:i w:val="0"/>
                <w:color w:val="334155"/>
                <w:sz w:val="17"/>
              </w:rPr>
              <w:t>Fare_fair is predicted from distance, corridor, and congestion (≈ 80 PKR for 9.6 km; ≈ 120 PKR Raiwind to Gold Campus).</w:t>
            </w:r>
          </w:p>
        </w:tc>
      </w:tr>
    </w:tbl>
    <w:p>
      <w:pPr>
        <w:spacing w:before="20" w:after="60"/>
        <w:jc w:val="left"/>
      </w:pPr>
      <w:r>
        <w:rPr>
          <w:rFonts w:ascii="Times New Roman" w:hAnsi="Times New Roman"/>
          <w:b/>
          <w:i w:val="0"/>
          <w:color w:val="1B365D"/>
          <w:sz w:val="18"/>
        </w:rPr>
        <w:t xml:space="preserve">Table 2: </w:t>
      </w:r>
      <w:r>
        <w:rPr>
          <w:rFonts w:ascii="Times New Roman" w:hAnsi="Times New Roman"/>
          <w:b w:val="0"/>
          <w:i w:val="0"/>
          <w:color w:val="334155"/>
          <w:sz w:val="18"/>
        </w:rPr>
        <w:t>Pre-registered decision rules for driver badges (applied to a driver's median across ≥ 5 verified rides).</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3326"/>
        <w:gridCol w:w="3326"/>
        <w:gridCol w:w="3326"/>
      </w:tblGrid>
      <w:tr>
        <w:tc>
          <w:tcPr>
            <w:tcW w:type="dxa" w:w="3326"/>
            <w:shd w:fill="1B365D"/>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Badge</w:t>
            </w:r>
          </w:p>
        </w:tc>
        <w:tc>
          <w:tcPr>
            <w:tcW w:type="dxa" w:w="3326"/>
            <w:shd w:fill="1B365D"/>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Rule (driver median)</w:t>
            </w:r>
          </w:p>
        </w:tc>
        <w:tc>
          <w:tcPr>
            <w:tcW w:type="dxa" w:w="3326"/>
            <w:shd w:fill="1B365D"/>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Curbside guidance shown to the passenger</w:t>
            </w:r>
          </w:p>
        </w:tc>
      </w:tr>
      <w:tr>
        <w:tc>
          <w:tcPr>
            <w:tcW w:type="dxa" w:w="3326"/>
            <w:shd w:fill="F9EBEB"/>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A82020"/>
                <w:sz w:val="17"/>
              </w:rPr>
              <w:t>Habitually Slow</w:t>
            </w:r>
          </w:p>
        </w:tc>
        <w:tc>
          <w:tcPr>
            <w:tcW w:type="dxa" w:w="3326"/>
            <w:tcMar>
              <w:top w:w="14" w:type="dxa"/>
              <w:bottom w:w="14" w:type="dxa"/>
              <w:left w:w="55" w:type="dxa"/>
              <w:right w:w="55" w:type="dxa"/>
            </w:tcMar>
            <w:vAlign w:val="center"/>
          </w:tcPr>
          <w:p>
            <w:pPr>
              <w:spacing w:before="0" w:after="0" w:line="240" w:lineRule="auto"/>
              <w:jc w:val="center"/>
            </w:pPr>
            <w:r>
              <w:rPr>
                <w:rFonts w:ascii="Times New Roman" w:hAnsi="Times New Roman"/>
                <w:b w:val="0"/>
                <w:i w:val="0"/>
                <w:sz w:val="17"/>
              </w:rPr>
              <w:t>Π &lt; 0.75</w:t>
            </w:r>
          </w:p>
        </w:tc>
        <w:tc>
          <w:tcPr>
            <w:tcW w:type="dxa" w:w="3326"/>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Expect trip duration at least 25% longer than ambient traffic requires.</w:t>
            </w:r>
          </w:p>
        </w:tc>
      </w:tr>
      <w:tr>
        <w:tc>
          <w:tcPr>
            <w:tcW w:type="dxa" w:w="3326"/>
            <w:shd w:fill="E6F2F2"/>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F7A7A"/>
                <w:sz w:val="17"/>
              </w:rPr>
              <w:t>Normal / Fast Pace</w:t>
            </w:r>
          </w:p>
        </w:tc>
        <w:tc>
          <w:tcPr>
            <w:tcW w:type="dxa" w:w="3326"/>
            <w:tcMar>
              <w:top w:w="14" w:type="dxa"/>
              <w:bottom w:w="14" w:type="dxa"/>
              <w:left w:w="55" w:type="dxa"/>
              <w:right w:w="55" w:type="dxa"/>
            </w:tcMar>
            <w:vAlign w:val="center"/>
          </w:tcPr>
          <w:p>
            <w:pPr>
              <w:spacing w:before="0" w:after="0" w:line="240" w:lineRule="auto"/>
              <w:jc w:val="center"/>
            </w:pPr>
            <w:r>
              <w:rPr>
                <w:rFonts w:ascii="Times New Roman" w:hAnsi="Times New Roman"/>
                <w:b w:val="0"/>
                <w:i w:val="0"/>
                <w:sz w:val="17"/>
              </w:rPr>
              <w:t>0.75 ≤ Π ≤ 1.15 / Π &gt; 1.15</w:t>
            </w:r>
          </w:p>
        </w:tc>
        <w:tc>
          <w:tcPr>
            <w:tcW w:type="dxa" w:w="3326"/>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Moves with ambient traffic (≤ 1.15) or noticeably brisker (&gt; 1.15).</w:t>
            </w:r>
          </w:p>
        </w:tc>
      </w:tr>
      <w:tr>
        <w:tc>
          <w:tcPr>
            <w:tcW w:type="dxa" w:w="3326"/>
            <w:shd w:fill="E6F2F2"/>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F7A7A"/>
                <w:sz w:val="17"/>
              </w:rPr>
              <w:t>Overpriced</w:t>
            </w:r>
          </w:p>
        </w:tc>
        <w:tc>
          <w:tcPr>
            <w:tcW w:type="dxa" w:w="3326"/>
            <w:tcMar>
              <w:top w:w="14" w:type="dxa"/>
              <w:bottom w:w="14" w:type="dxa"/>
              <w:left w:w="55" w:type="dxa"/>
              <w:right w:w="55" w:type="dxa"/>
            </w:tcMar>
            <w:vAlign w:val="center"/>
          </w:tcPr>
          <w:p>
            <w:pPr>
              <w:spacing w:before="0" w:after="0" w:line="240" w:lineRule="auto"/>
              <w:jc w:val="center"/>
            </w:pPr>
            <w:r>
              <w:rPr>
                <w:rFonts w:ascii="Times New Roman" w:hAnsi="Times New Roman"/>
                <w:b w:val="0"/>
                <w:i w:val="0"/>
                <w:sz w:val="17"/>
              </w:rPr>
              <w:t>Φ &gt; 1.25</w:t>
            </w:r>
          </w:p>
        </w:tc>
        <w:tc>
          <w:tcPr>
            <w:tcW w:type="dxa" w:w="3326"/>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Quotes more than 25% above fair benchmark (e.g. &gt; 100 PKR on an 80 PKR route); negotiate or skip.</w:t>
            </w:r>
          </w:p>
        </w:tc>
      </w:tr>
    </w:tbl>
    <w:p>
      <w:pPr>
        <w:keepNext/>
        <w:spacing w:before="60" w:after="30"/>
        <w:pBdr>
          <w:bottom w:val="single" w:sz="8" w:space="1" w:color="1F7A7A"/>
        </w:pBdr>
      </w:pPr>
      <w:r>
        <w:rPr>
          <w:rFonts w:ascii="Times New Roman" w:hAnsi="Times New Roman"/>
          <w:b/>
          <w:i w:val="0"/>
          <w:color w:val="1B365D"/>
          <w:sz w:val="32"/>
        </w:rPr>
        <w:t>4. Collect: The Evidence We Need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2F7"/>
            <w:tcMar>
              <w:top w:w="30" w:type="dxa"/>
              <w:bottom w:w="30" w:type="dxa"/>
              <w:left w:w="80" w:type="dxa"/>
              <w:right w:w="80" w:type="dxa"/>
            </w:tcMar>
          </w:tcPr>
          <w:p>
            <w:pPr>
              <w:spacing w:before="0" w:after="0"/>
            </w:pPr>
            <w:r>
              <w:rPr>
                <w:rFonts w:ascii="Times New Roman" w:hAnsi="Times New Roman"/>
                <w:b/>
                <w:i w:val="0"/>
                <w:color w:val="2B6CB0"/>
                <w:sz w:val="28"/>
              </w:rPr>
              <w:t>Stage 2 · COLLECT</w:t>
            </w:r>
          </w:p>
        </w:tc>
        <w:tc>
          <w:tcPr>
            <w:tcW w:type="dxa" w:w="5472"/>
            <w:shd w:fill="EBF2F7"/>
            <w:tcMar>
              <w:top w:w="30" w:type="dxa"/>
              <w:bottom w:w="30" w:type="dxa"/>
              <w:left w:w="80" w:type="dxa"/>
              <w:right w:w="80" w:type="dxa"/>
            </w:tcMar>
          </w:tcPr>
          <w:p>
            <w:pPr>
              <w:spacing w:before="0" w:after="0"/>
              <w:jc w:val="right"/>
            </w:pPr>
            <w:r>
              <w:rPr>
                <w:rFonts w:ascii="Times New Roman" w:hAnsi="Times New Roman"/>
                <w:b w:val="0"/>
                <w:i/>
                <w:color w:val="334155"/>
                <w:sz w:val="24"/>
              </w:rPr>
              <w:t>What evidence is needed?</w:t>
            </w:r>
          </w:p>
        </w:tc>
      </w:tr>
    </w:tbl>
    <w:p>
      <w:pPr>
        <w:spacing w:before="0" w:after="60" w:line="245" w:lineRule="auto"/>
        <w:jc w:val="both"/>
      </w:pPr>
      <w:r>
        <w:rPr>
          <w:rFonts w:ascii="Times New Roman" w:hAnsi="Times New Roman"/>
          <w:b w:val="0"/>
          <w:i w:val="0"/>
          <w:sz w:val="24"/>
        </w:rPr>
        <w:t xml:space="preserve">Since no public dataset links Lahore Qingqi rickshaw drivers to speed and pricing, we designed a four-week pilot with 85 student volunteers commuting to </w:t>
      </w:r>
      <w:r>
        <w:rPr>
          <w:rFonts w:ascii="Times New Roman" w:hAnsi="Times New Roman"/>
          <w:b/>
          <w:i w:val="0"/>
          <w:sz w:val="24"/>
        </w:rPr>
        <w:t>Superior University Gold Campus</w:t>
      </w:r>
      <w:r>
        <w:rPr>
          <w:rFonts w:ascii="Times New Roman" w:hAnsi="Times New Roman"/>
          <w:b w:val="0"/>
          <w:i w:val="0"/>
          <w:sz w:val="24"/>
        </w:rPr>
        <w:t xml:space="preserve"> (from Raiwind, Johar Town, Thokar Niaz Baig, and Township) and across inner-city Lahore corridors. To validate our pipeline beforehand, we generated a synthetic pilot dataset (SEED = 2026) spanning 40 drivers across 34 Qingqi rickshaws (six shift-shared), 1,200 scans, 1,224 trip logs, and 411,829 5-second GPS pings (Table 3, Figure 4). For privacy, only 128-D face embeddings are stored and raw photos are discarded immediately.</w:t>
      </w:r>
    </w:p>
    <w:p>
      <w:pPr>
        <w:spacing w:before="20" w:after="60"/>
        <w:jc w:val="left"/>
      </w:pPr>
      <w:r>
        <w:rPr>
          <w:rFonts w:ascii="Times New Roman" w:hAnsi="Times New Roman"/>
          <w:b/>
          <w:i w:val="0"/>
          <w:color w:val="1B365D"/>
          <w:sz w:val="18"/>
        </w:rPr>
        <w:t xml:space="preserve">Table 3: </w:t>
      </w:r>
      <w:r>
        <w:rPr>
          <w:rFonts w:ascii="Times New Roman" w:hAnsi="Times New Roman"/>
          <w:b w:val="0"/>
          <w:i w:val="0"/>
          <w:color w:val="334155"/>
          <w:sz w:val="18"/>
        </w:rPr>
        <w:t>Planned data streams and volume produced by our four-week simulated Lahore pilot (data/raw/).</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2494"/>
        <w:gridCol w:w="2494"/>
        <w:gridCol w:w="2494"/>
        <w:gridCol w:w="2494"/>
      </w:tblGrid>
      <w:tr>
        <w:tc>
          <w:tcPr>
            <w:tcW w:type="dxa" w:w="2494"/>
            <w:shd w:fill="1B365D"/>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Stream</w:t>
            </w:r>
          </w:p>
        </w:tc>
        <w:tc>
          <w:tcPr>
            <w:tcW w:type="dxa" w:w="2494"/>
            <w:shd w:fill="1B365D"/>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Fields captured</w:t>
            </w:r>
          </w:p>
        </w:tc>
        <w:tc>
          <w:tcPr>
            <w:tcW w:type="dxa" w:w="2494"/>
            <w:shd w:fill="1B365D"/>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Lifecycle purpose</w:t>
            </w:r>
          </w:p>
        </w:tc>
        <w:tc>
          <w:tcPr>
            <w:tcW w:type="dxa" w:w="2494"/>
            <w:shd w:fill="1B365D"/>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Mock rows</w:t>
            </w:r>
          </w:p>
        </w:tc>
      </w:tr>
      <w:tr>
        <w:tc>
          <w:tcPr>
            <w:tcW w:type="dxa" w:w="2494"/>
            <w:shd w:fill="EBF2F7"/>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B365D"/>
                <w:sz w:val="17"/>
              </w:rPr>
              <w:t>Curb scan</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Plate OCR text &amp; confidence, 128-D face cosine match, low-light flag</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Verify driver identity</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1,200</w:t>
            </w:r>
          </w:p>
        </w:tc>
      </w:tr>
      <w:tr>
        <w:tc>
          <w:tcPr>
            <w:tcW w:type="dxa" w:w="2494"/>
            <w:shd w:fill="EBF2F7"/>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B365D"/>
                <w:sz w:val="17"/>
              </w:rPr>
              <w:t>Ride record</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User ID, corridor, timestamps, quoted fare (PKR), End Ride flag</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Fare &amp; duration log</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1,224</w:t>
            </w:r>
          </w:p>
        </w:tc>
      </w:tr>
      <w:tr>
        <w:tc>
          <w:tcPr>
            <w:tcW w:type="dxa" w:w="2494"/>
            <w:shd w:fill="EBF2F7"/>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B365D"/>
                <w:sz w:val="17"/>
              </w:rPr>
              <w:t>GPS pings</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Lat, lon, 5-s timestamp, speed, accelerometer step variance</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Trajectory &amp; tail trim</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411,829</w:t>
            </w:r>
          </w:p>
        </w:tc>
      </w:tr>
      <w:tr>
        <w:tc>
          <w:tcPr>
            <w:tcW w:type="dxa" w:w="2494"/>
            <w:shd w:fill="EBF2F7"/>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B365D"/>
                <w:sz w:val="17"/>
              </w:rPr>
              <w:t>Fare benchmark</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Reference Qingqi corridor fare (PKR; ≈ 80 PKR for 9.6 km)</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Ground-truth fair fare</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1,200</w:t>
            </w:r>
          </w:p>
        </w:tc>
      </w:tr>
      <w:tr>
        <w:tc>
          <w:tcPr>
            <w:tcW w:type="dxa" w:w="2494"/>
            <w:shd w:fill="EBF2F7"/>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B365D"/>
                <w:sz w:val="17"/>
              </w:rPr>
              <w:t>Driver gallery</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Registered plate-to-driver mapping and shift schedule (34 plates)</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Resolve shared vehicles</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40</w:t>
            </w:r>
          </w:p>
        </w:tc>
      </w:tr>
    </w:tbl>
    <w:p>
      <w:pPr>
        <w:spacing w:before="20" w:after="20"/>
        <w:jc w:val="center"/>
      </w:pPr>
      <w:r>
        <w:drawing>
          <wp:inline xmlns:a="http://schemas.openxmlformats.org/drawingml/2006/main" xmlns:pic="http://schemas.openxmlformats.org/drawingml/2006/picture">
            <wp:extent cx="3337560" cy="1764065"/>
            <wp:docPr id="4" name="Picture 4"/>
            <wp:cNvGraphicFramePr>
              <a:graphicFrameLocks noChangeAspect="1"/>
            </wp:cNvGraphicFramePr>
            <a:graphic>
              <a:graphicData uri="http://schemas.openxmlformats.org/drawingml/2006/picture">
                <pic:pic>
                  <pic:nvPicPr>
                    <pic:cNvPr id="0" name="fig_route_map.png"/>
                    <pic:cNvPicPr/>
                  </pic:nvPicPr>
                  <pic:blipFill>
                    <a:blip r:embed="rId14"/>
                    <a:stretch>
                      <a:fillRect/>
                    </a:stretch>
                  </pic:blipFill>
                  <pic:spPr>
                    <a:xfrm>
                      <a:off x="0" y="0"/>
                      <a:ext cx="3337560" cy="1764065"/>
                    </a:xfrm>
                    <a:prstGeom prst="rect"/>
                  </pic:spPr>
                </pic:pic>
              </a:graphicData>
            </a:graphic>
          </wp:inline>
        </w:drawing>
      </w:r>
    </w:p>
    <w:p>
      <w:pPr>
        <w:spacing w:before="20" w:after="60"/>
        <w:jc w:val="left"/>
      </w:pPr>
      <w:r>
        <w:rPr>
          <w:rFonts w:ascii="Times New Roman" w:hAnsi="Times New Roman"/>
          <w:b/>
          <w:i w:val="0"/>
          <w:color w:val="1B365D"/>
          <w:sz w:val="18"/>
        </w:rPr>
        <w:t xml:space="preserve">Figure 4: </w:t>
      </w:r>
      <w:r>
        <w:rPr>
          <w:rFonts w:ascii="Times New Roman" w:hAnsi="Times New Roman"/>
          <w:b w:val="0"/>
          <w:i w:val="0"/>
          <w:color w:val="334155"/>
          <w:sz w:val="18"/>
        </w:rPr>
        <w:t>Left: simulated GPS traces across Raiwind, Superior Gold Campus, and inner-city Lahore corridors, with red tails showing forgotten End Ride walks. Right: ride volume peaks during the 07:00–09:00 and 16:00–19:00 rush hours.</w:t>
      </w:r>
    </w:p>
    <w:p>
      <w:pPr>
        <w:keepNext/>
        <w:pageBreakBefore/>
        <w:spacing w:before="60" w:after="30"/>
        <w:pBdr>
          <w:bottom w:val="single" w:sz="8" w:space="1" w:color="1F7A7A"/>
        </w:pBdr>
      </w:pPr>
      <w:r>
        <w:rPr>
          <w:rFonts w:ascii="Times New Roman" w:hAnsi="Times New Roman"/>
          <w:b/>
          <w:i w:val="0"/>
          <w:color w:val="1B365D"/>
          <w:sz w:val="32"/>
        </w:rPr>
        <w:t>5. Clean: Can the Data Be Trusted?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6F2F2"/>
            <w:tcMar>
              <w:top w:w="30" w:type="dxa"/>
              <w:bottom w:w="30" w:type="dxa"/>
              <w:left w:w="80" w:type="dxa"/>
              <w:right w:w="80" w:type="dxa"/>
            </w:tcMar>
          </w:tcPr>
          <w:p>
            <w:pPr>
              <w:spacing w:before="0" w:after="0"/>
            </w:pPr>
            <w:r>
              <w:rPr>
                <w:rFonts w:ascii="Times New Roman" w:hAnsi="Times New Roman"/>
                <w:b/>
                <w:i w:val="0"/>
                <w:color w:val="1F7A7A"/>
                <w:sz w:val="28"/>
              </w:rPr>
              <w:t>Stage 3 · CLEAN</w:t>
            </w:r>
          </w:p>
        </w:tc>
        <w:tc>
          <w:tcPr>
            <w:tcW w:type="dxa" w:w="5472"/>
            <w:shd w:fill="E6F2F2"/>
            <w:tcMar>
              <w:top w:w="30" w:type="dxa"/>
              <w:bottom w:w="30" w:type="dxa"/>
              <w:left w:w="80" w:type="dxa"/>
              <w:right w:w="80" w:type="dxa"/>
            </w:tcMar>
          </w:tcPr>
          <w:p>
            <w:pPr>
              <w:spacing w:before="0" w:after="0"/>
              <w:jc w:val="right"/>
            </w:pPr>
            <w:r>
              <w:rPr>
                <w:rFonts w:ascii="Times New Roman" w:hAnsi="Times New Roman"/>
                <w:b w:val="0"/>
                <w:i/>
                <w:color w:val="334155"/>
                <w:sz w:val="24"/>
              </w:rPr>
              <w:t>Can the data be trusted?</w:t>
            </w:r>
          </w:p>
        </w:tc>
      </w:tr>
    </w:tbl>
    <w:p>
      <w:pPr>
        <w:spacing w:before="0" w:after="60" w:line="245" w:lineRule="auto"/>
        <w:jc w:val="both"/>
      </w:pPr>
      <w:r>
        <w:rPr>
          <w:rFonts w:ascii="Times New Roman" w:hAnsi="Times New Roman"/>
          <w:b w:val="0"/>
          <w:i w:val="0"/>
          <w:sz w:val="24"/>
        </w:rPr>
        <w:t xml:space="preserve">Street telemetry contains four recurring defects that we injected into our mock pilot and resolved programmatically. First, </w:t>
      </w:r>
      <w:r>
        <w:rPr>
          <w:rFonts w:ascii="Times New Roman" w:hAnsi="Times New Roman"/>
          <w:b/>
          <w:i w:val="0"/>
          <w:sz w:val="24"/>
        </w:rPr>
        <w:t>duplicate uploads</w:t>
      </w:r>
      <w:r>
        <w:rPr>
          <w:rFonts w:ascii="Times New Roman" w:hAnsi="Times New Roman"/>
          <w:b w:val="0"/>
          <w:i w:val="0"/>
          <w:sz w:val="24"/>
        </w:rPr>
        <w:t xml:space="preserve"> from cellular retries within 10 seconds are dropped (1,224 → 1,200). Second, </w:t>
      </w:r>
      <w:r>
        <w:rPr>
          <w:rFonts w:ascii="Times New Roman" w:hAnsi="Times New Roman"/>
          <w:b/>
          <w:i w:val="0"/>
          <w:sz w:val="24"/>
        </w:rPr>
        <w:t>missing or typo fares</w:t>
      </w:r>
      <w:r>
        <w:rPr>
          <w:rFonts w:ascii="Times New Roman" w:hAnsi="Times New Roman"/>
          <w:b w:val="0"/>
          <w:i w:val="0"/>
          <w:sz w:val="24"/>
        </w:rPr>
        <w:t xml:space="preserve"> (e.g. 800 instead of 80 PKR) outside [0.4, 4.0]× benchmark are removed (1,200 → 1,151). Third, </w:t>
      </w:r>
      <w:r>
        <w:rPr>
          <w:rFonts w:ascii="Times New Roman" w:hAnsi="Times New Roman"/>
          <w:b/>
          <w:i w:val="0"/>
          <w:sz w:val="24"/>
        </w:rPr>
        <w:t>night glare and dented plates</w:t>
      </w:r>
      <w:r>
        <w:rPr>
          <w:rFonts w:ascii="Times New Roman" w:hAnsi="Times New Roman"/>
          <w:b w:val="0"/>
          <w:i w:val="0"/>
          <w:sz w:val="24"/>
        </w:rPr>
        <w:t xml:space="preserve"> degrade OCR; requiring plate confidence ≥ 0.85 or face similarity ≥ 0.70 (and using the face to disambiguate shared plates) boosts identity precision from 83.5% to </w:t>
      </w:r>
      <w:r>
        <w:rPr>
          <w:rFonts w:ascii="Times New Roman" w:hAnsi="Times New Roman"/>
          <w:b/>
          <w:i w:val="0"/>
          <w:sz w:val="24"/>
        </w:rPr>
        <w:t>99.8%</w:t>
      </w:r>
      <w:r>
        <w:rPr>
          <w:rFonts w:ascii="Times New Roman" w:hAnsi="Times New Roman"/>
          <w:b w:val="0"/>
          <w:i w:val="0"/>
          <w:sz w:val="24"/>
        </w:rPr>
        <w:t xml:space="preserve"> (1,151 → 1,090), leaving </w:t>
      </w:r>
      <w:r>
        <w:rPr>
          <w:rFonts w:ascii="Times New Roman" w:hAnsi="Times New Roman"/>
          <w:b/>
          <w:i w:val="0"/>
          <w:sz w:val="24"/>
        </w:rPr>
        <w:t>1,071 verified rides</w:t>
      </w:r>
      <w:r>
        <w:rPr>
          <w:rFonts w:ascii="Times New Roman" w:hAnsi="Times New Roman"/>
          <w:b w:val="0"/>
          <w:i w:val="0"/>
          <w:sz w:val="24"/>
        </w:rPr>
        <w:t xml:space="preserve"> after dropping 19 underpass traces with &lt; 75% GPS coverage (Figure 5, left). Fourth, when a student forgets to tap End Ride, our backward change-point filter trims trailing pings with speed &lt; 6 km/h and step variance &gt; 1.0 m/s² for ≥ 60 s, catching </w:t>
      </w:r>
      <w:r>
        <w:rPr>
          <w:rFonts w:ascii="Times New Roman" w:hAnsi="Times New Roman"/>
          <w:b/>
          <w:i w:val="0"/>
          <w:sz w:val="24"/>
        </w:rPr>
        <w:t>82.4%</w:t>
      </w:r>
      <w:r>
        <w:rPr>
          <w:rFonts w:ascii="Times New Roman" w:hAnsi="Times New Roman"/>
          <w:b w:val="0"/>
          <w:i w:val="0"/>
          <w:sz w:val="24"/>
        </w:rPr>
        <w:t xml:space="preserve"> of all 148 walking tails at 100% precision and restoring 2.36 km/h to affected drivers (Figure 5, right).</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606040" cy="893199"/>
                  <wp:docPr id="5" name="Picture 5"/>
                  <wp:cNvGraphicFramePr>
                    <a:graphicFrameLocks noChangeAspect="1"/>
                  </wp:cNvGraphicFramePr>
                  <a:graphic>
                    <a:graphicData uri="http://schemas.openxmlformats.org/drawingml/2006/picture">
                      <pic:pic>
                        <pic:nvPicPr>
                          <pic:cNvPr id="0" name="fig_cleaning.png"/>
                          <pic:cNvPicPr/>
                        </pic:nvPicPr>
                        <pic:blipFill>
                          <a:blip r:embed="rId15"/>
                          <a:stretch>
                            <a:fillRect/>
                          </a:stretch>
                        </pic:blipFill>
                        <pic:spPr>
                          <a:xfrm>
                            <a:off x="0" y="0"/>
                            <a:ext cx="2606040" cy="893199"/>
                          </a:xfrm>
                          <a:prstGeom prst="rect"/>
                        </pic:spPr>
                      </pic:pic>
                    </a:graphicData>
                  </a:graphic>
                </wp:inline>
              </w:drawing>
            </w:r>
          </w:p>
        </w:tc>
        <w:tc>
          <w:tcPr>
            <w:tcW w:type="dxa" w:w="4989"/>
          </w:tcPr>
          <w:p>
            <w:r>
              <w:drawing>
                <wp:inline xmlns:a="http://schemas.openxmlformats.org/drawingml/2006/main" xmlns:pic="http://schemas.openxmlformats.org/drawingml/2006/picture">
                  <wp:extent cx="2606040" cy="1396334"/>
                  <wp:docPr id="6" name="Picture 6"/>
                  <wp:cNvGraphicFramePr>
                    <a:graphicFrameLocks noChangeAspect="1"/>
                  </wp:cNvGraphicFramePr>
                  <a:graphic>
                    <a:graphicData uri="http://schemas.openxmlformats.org/drawingml/2006/picture">
                      <pic:pic>
                        <pic:nvPicPr>
                          <pic:cNvPr id="0" name="fig_gps_trim.png"/>
                          <pic:cNvPicPr/>
                        </pic:nvPicPr>
                        <pic:blipFill>
                          <a:blip r:embed="rId16"/>
                          <a:stretch>
                            <a:fillRect/>
                          </a:stretch>
                        </pic:blipFill>
                        <pic:spPr>
                          <a:xfrm>
                            <a:off x="0" y="0"/>
                            <a:ext cx="2606040" cy="1396334"/>
                          </a:xfrm>
                          <a:prstGeom prst="rect"/>
                        </pic:spPr>
                      </pic:pic>
                    </a:graphicData>
                  </a:graphic>
                </wp:inline>
              </w:drawing>
            </w:r>
          </w:p>
        </w:tc>
      </w:tr>
    </w:tbl>
    <w:p>
      <w:pPr>
        <w:spacing w:before="20" w:after="60"/>
        <w:jc w:val="left"/>
      </w:pPr>
      <w:r>
        <w:rPr>
          <w:rFonts w:ascii="Times New Roman" w:hAnsi="Times New Roman"/>
          <w:b/>
          <w:i w:val="0"/>
          <w:color w:val="1B365D"/>
          <w:sz w:val="18"/>
        </w:rPr>
        <w:t xml:space="preserve">Figure 5: </w:t>
      </w:r>
      <w:r>
        <w:rPr>
          <w:rFonts w:ascii="Times New Roman" w:hAnsi="Times New Roman"/>
          <w:b w:val="0"/>
          <w:i w:val="0"/>
          <w:color w:val="334155"/>
          <w:sz w:val="18"/>
        </w:rPr>
        <w:t>Left: multi-stage cleaning funnel (1,224 raw to 1,071 clean rides) and biometric fusion gain. Right: change-point walking-tail trim on a student commute, preventing an artificial speed penalty.</w:t>
      </w:r>
    </w:p>
    <w:p>
      <w:pPr>
        <w:keepNext/>
        <w:spacing w:before="40" w:after="20"/>
        <w:pBdr>
          <w:bottom w:val="single" w:sz="8" w:space="1" w:color="1F7A7A"/>
        </w:pBdr>
      </w:pPr>
      <w:r>
        <w:rPr>
          <w:rFonts w:ascii="Times New Roman" w:hAnsi="Times New Roman"/>
          <w:b/>
          <w:i w:val="0"/>
          <w:color w:val="1B365D"/>
          <w:sz w:val="32"/>
        </w:rPr>
        <w:t>6. Explore: What Patterns Appear?</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6F2F2"/>
            <w:tcMar>
              <w:top w:w="30" w:type="dxa"/>
              <w:bottom w:w="30" w:type="dxa"/>
              <w:left w:w="80" w:type="dxa"/>
              <w:right w:w="80" w:type="dxa"/>
            </w:tcMar>
          </w:tcPr>
          <w:p>
            <w:pPr>
              <w:spacing w:before="0" w:after="0"/>
            </w:pPr>
            <w:r>
              <w:rPr>
                <w:rFonts w:ascii="Times New Roman" w:hAnsi="Times New Roman"/>
                <w:b/>
                <w:i w:val="0"/>
                <w:color w:val="1F7A7A"/>
                <w:sz w:val="28"/>
              </w:rPr>
              <w:t>Stage 4 · EXPLORE</w:t>
            </w:r>
          </w:p>
        </w:tc>
        <w:tc>
          <w:tcPr>
            <w:tcW w:type="dxa" w:w="5472"/>
            <w:shd w:fill="E6F2F2"/>
            <w:tcMar>
              <w:top w:w="30" w:type="dxa"/>
              <w:bottom w:w="30" w:type="dxa"/>
              <w:left w:w="80" w:type="dxa"/>
              <w:right w:w="80" w:type="dxa"/>
            </w:tcMar>
          </w:tcPr>
          <w:p>
            <w:pPr>
              <w:spacing w:before="0" w:after="0"/>
              <w:jc w:val="right"/>
            </w:pPr>
            <w:r>
              <w:rPr>
                <w:rFonts w:ascii="Times New Roman" w:hAnsi="Times New Roman"/>
                <w:b w:val="0"/>
                <w:i/>
                <w:color w:val="334155"/>
                <w:sz w:val="24"/>
              </w:rPr>
              <w:t>What patterns appear?</w:t>
            </w:r>
          </w:p>
        </w:tc>
      </w:tr>
    </w:tbl>
    <w:p>
      <w:pPr>
        <w:spacing w:before="0" w:after="40" w:line="235" w:lineRule="auto"/>
        <w:jc w:val="both"/>
      </w:pPr>
      <w:r>
        <w:rPr>
          <w:rFonts w:ascii="Times New Roman" w:hAnsi="Times New Roman"/>
          <w:b w:val="0"/>
          <w:i w:val="0"/>
          <w:sz w:val="24"/>
        </w:rPr>
        <w:t>Exploratory analysis confirms why raw speed is unfair: on inner-city corridors such as Mall Road, ambient median speed v_base drops from 22 km/h at night to 10 km/h during rush hour, whereas Raiwind Road to Superior Gold Campus flows faster (Figure 6, left). Normalising by v_base isolates driver pace across all traffic regimes, while the Fare Ratio Φ separates fair Qingqi quotes (≈ 80 PKR for 9.6 km, ≈ 120 PKR from Raiwind to Gold Campus, Φ ≈ 1.0) from an overpriced tail near Φ ≈ 1.7 (Figure 6, right; Table 4).</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560320" cy="970093"/>
                  <wp:docPr id="7" name="Picture 7"/>
                  <wp:cNvGraphicFramePr>
                    <a:graphicFrameLocks noChangeAspect="1"/>
                  </wp:cNvGraphicFramePr>
                  <a:graphic>
                    <a:graphicData uri="http://schemas.openxmlformats.org/drawingml/2006/picture">
                      <pic:pic>
                        <pic:nvPicPr>
                          <pic:cNvPr id="0" name="fig_heatmap.png"/>
                          <pic:cNvPicPr/>
                        </pic:nvPicPr>
                        <pic:blipFill>
                          <a:blip r:embed="rId17"/>
                          <a:stretch>
                            <a:fillRect/>
                          </a:stretch>
                        </pic:blipFill>
                        <pic:spPr>
                          <a:xfrm>
                            <a:off x="0" y="0"/>
                            <a:ext cx="2560320" cy="970093"/>
                          </a:xfrm>
                          <a:prstGeom prst="rect"/>
                        </pic:spPr>
                      </pic:pic>
                    </a:graphicData>
                  </a:graphic>
                </wp:inline>
              </w:drawing>
            </w:r>
          </w:p>
        </w:tc>
        <w:tc>
          <w:tcPr>
            <w:tcW w:type="dxa" w:w="4989"/>
          </w:tcPr>
          <w:p>
            <w:r>
              <w:drawing>
                <wp:inline xmlns:a="http://schemas.openxmlformats.org/drawingml/2006/main" xmlns:pic="http://schemas.openxmlformats.org/drawingml/2006/picture">
                  <wp:extent cx="2651760" cy="1297080"/>
                  <wp:docPr id="8" name="Picture 8"/>
                  <wp:cNvGraphicFramePr>
                    <a:graphicFrameLocks noChangeAspect="1"/>
                  </wp:cNvGraphicFramePr>
                  <a:graphic>
                    <a:graphicData uri="http://schemas.openxmlformats.org/drawingml/2006/picture">
                      <pic:pic>
                        <pic:nvPicPr>
                          <pic:cNvPr id="0" name="fig_explore.png"/>
                          <pic:cNvPicPr/>
                        </pic:nvPicPr>
                        <pic:blipFill>
                          <a:blip r:embed="rId18"/>
                          <a:stretch>
                            <a:fillRect/>
                          </a:stretch>
                        </pic:blipFill>
                        <pic:spPr>
                          <a:xfrm>
                            <a:off x="0" y="0"/>
                            <a:ext cx="2651760" cy="1297080"/>
                          </a:xfrm>
                          <a:prstGeom prst="rect"/>
                        </pic:spPr>
                      </pic:pic>
                    </a:graphicData>
                  </a:graphic>
                </wp:inline>
              </w:drawing>
            </w:r>
          </w:p>
        </w:tc>
      </w:tr>
    </w:tbl>
    <w:p>
      <w:pPr>
        <w:spacing w:before="20" w:after="60"/>
        <w:jc w:val="left"/>
      </w:pPr>
      <w:r>
        <w:rPr>
          <w:rFonts w:ascii="Times New Roman" w:hAnsi="Times New Roman"/>
          <w:b/>
          <w:i w:val="0"/>
          <w:color w:val="1B365D"/>
          <w:sz w:val="18"/>
        </w:rPr>
        <w:t xml:space="preserve">Figure 6: </w:t>
      </w:r>
      <w:r>
        <w:rPr>
          <w:rFonts w:ascii="Times New Roman" w:hAnsi="Times New Roman"/>
          <w:b w:val="0"/>
          <w:i w:val="0"/>
          <w:color w:val="334155"/>
          <w:sz w:val="18"/>
        </w:rPr>
        <w:t>Left: weekday ambient speed v_base by corridor and hour. Right: observed vs. baseline speed showing the Normal Pace band, and the bimodal distribution of Fare Ratio Φ.</w:t>
      </w:r>
    </w:p>
    <w:p>
      <w:pPr>
        <w:spacing w:before="20" w:after="60"/>
        <w:jc w:val="left"/>
      </w:pPr>
      <w:r>
        <w:rPr>
          <w:rFonts w:ascii="Times New Roman" w:hAnsi="Times New Roman"/>
          <w:b/>
          <w:i w:val="0"/>
          <w:color w:val="1B365D"/>
          <w:sz w:val="18"/>
        </w:rPr>
        <w:t xml:space="preserve">Table 4: </w:t>
      </w:r>
      <w:r>
        <w:rPr>
          <w:rFonts w:ascii="Times New Roman" w:hAnsi="Times New Roman"/>
          <w:b w:val="0"/>
          <w:i w:val="0"/>
          <w:color w:val="334155"/>
          <w:sz w:val="18"/>
        </w:rPr>
        <w:t>Sample of cleaned, feature-engineered Qingqi rides (data/processed/trips_clean.csv) illustrating independent pace and fare scores.</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998"/>
        <w:gridCol w:w="998"/>
        <w:gridCol w:w="998"/>
        <w:gridCol w:w="998"/>
        <w:gridCol w:w="998"/>
        <w:gridCol w:w="998"/>
        <w:gridCol w:w="998"/>
        <w:gridCol w:w="998"/>
        <w:gridCol w:w="998"/>
        <w:gridCol w:w="998"/>
      </w:tblGrid>
      <w:tr>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Ride</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Plate # Face</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Corridor</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Hr</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km</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v_obs</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v_base</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Π</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Quoted/Fair</w:t>
            </w:r>
          </w:p>
        </w:tc>
        <w:tc>
          <w:tcPr>
            <w:tcW w:type="dxa" w:w="998"/>
            <w:shd w:fill="1B365D"/>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FFFFFF"/>
                <w:sz w:val="17"/>
              </w:rPr>
              <w:t>Φ</w:t>
            </w:r>
          </w:p>
        </w:tc>
      </w:tr>
      <w:tr>
        <w:tc>
          <w:tcPr>
            <w:tcW w:type="dxa" w:w="998"/>
            <w:shd w:fill="EBF2F7"/>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TR-0794</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LES-8113#F06</w:t>
            </w:r>
          </w:p>
        </w:tc>
        <w:tc>
          <w:tcPr>
            <w:tcW w:type="dxa" w:w="998"/>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Johar Town – Gold Campus</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14</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10.0</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22.9</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22.4</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1.02</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80 / 79</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1.02</w:t>
            </w:r>
          </w:p>
        </w:tc>
      </w:tr>
      <w:tr>
        <w:tc>
          <w:tcPr>
            <w:tcW w:type="dxa" w:w="998"/>
            <w:shd w:fill="EBF2F7"/>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TR-0467</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LEA-6967#F23</w:t>
            </w:r>
          </w:p>
        </w:tc>
        <w:tc>
          <w:tcPr>
            <w:tcW w:type="dxa" w:w="998"/>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Raiwind – Gold Campus</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8</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16.1</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18.2</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19.7</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0.92</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125 / 126</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0.99</w:t>
            </w:r>
          </w:p>
        </w:tc>
      </w:tr>
      <w:tr>
        <w:tc>
          <w:tcPr>
            <w:tcW w:type="dxa" w:w="998"/>
            <w:shd w:fill="EBF2F7"/>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TR-0427</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LEP-2758#F27</w:t>
            </w:r>
          </w:p>
        </w:tc>
        <w:tc>
          <w:tcPr>
            <w:tcW w:type="dxa" w:w="998"/>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Raiwind – Gold Campus</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17</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16.2</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13.0</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23.0</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0.57</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180 / 120</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1.50</w:t>
            </w:r>
          </w:p>
        </w:tc>
      </w:tr>
      <w:tr>
        <w:tc>
          <w:tcPr>
            <w:tcW w:type="dxa" w:w="998"/>
            <w:shd w:fill="EBF2F7"/>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TR-1092</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LEP-3036#F20</w:t>
            </w:r>
          </w:p>
        </w:tc>
        <w:tc>
          <w:tcPr>
            <w:tcW w:type="dxa" w:w="998"/>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Thokar – Gold Campus</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11</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8.7</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25.4</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25.4</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1.00</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125 / 71</w:t>
            </w:r>
          </w:p>
        </w:tc>
        <w:tc>
          <w:tcPr>
            <w:tcW w:type="dxa" w:w="998"/>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1.77</w:t>
            </w:r>
          </w:p>
        </w:tc>
      </w:tr>
    </w:tbl>
    <w:p>
      <w:pPr>
        <w:keepNext/>
        <w:pageBreakBefore/>
        <w:spacing w:before="60" w:after="30"/>
        <w:pBdr>
          <w:bottom w:val="single" w:sz="8" w:space="1" w:color="1F7A7A"/>
        </w:pBdr>
      </w:pPr>
      <w:r>
        <w:rPr>
          <w:rFonts w:ascii="Times New Roman" w:hAnsi="Times New Roman"/>
          <w:b/>
          <w:i w:val="0"/>
          <w:color w:val="1B365D"/>
          <w:sz w:val="32"/>
        </w:rPr>
        <w:t>7. Model: From Patterns to Predictions</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2F7"/>
            <w:tcMar>
              <w:top w:w="30" w:type="dxa"/>
              <w:bottom w:w="30" w:type="dxa"/>
              <w:left w:w="80" w:type="dxa"/>
              <w:right w:w="80" w:type="dxa"/>
            </w:tcMar>
          </w:tcPr>
          <w:p>
            <w:pPr>
              <w:spacing w:before="0" w:after="0"/>
            </w:pPr>
            <w:r>
              <w:rPr>
                <w:rFonts w:ascii="Times New Roman" w:hAnsi="Times New Roman"/>
                <w:b/>
                <w:i w:val="0"/>
                <w:color w:val="2B6CB0"/>
                <w:sz w:val="28"/>
              </w:rPr>
              <w:t>Stage 5 · MODEL</w:t>
            </w:r>
          </w:p>
        </w:tc>
        <w:tc>
          <w:tcPr>
            <w:tcW w:type="dxa" w:w="5472"/>
            <w:shd w:fill="EBF2F7"/>
            <w:tcMar>
              <w:top w:w="30" w:type="dxa"/>
              <w:bottom w:w="30" w:type="dxa"/>
              <w:left w:w="80" w:type="dxa"/>
              <w:right w:w="80" w:type="dxa"/>
            </w:tcMar>
          </w:tcPr>
          <w:p>
            <w:pPr>
              <w:spacing w:before="0" w:after="0"/>
              <w:jc w:val="right"/>
            </w:pPr>
            <w:r>
              <w:rPr>
                <w:rFonts w:ascii="Times New Roman" w:hAnsi="Times New Roman"/>
                <w:b w:val="0"/>
                <w:i/>
                <w:color w:val="334155"/>
                <w:sz w:val="24"/>
              </w:rPr>
              <w:t>Can patterns support prediction?</w:t>
            </w:r>
          </w:p>
        </w:tc>
      </w:tr>
    </w:tbl>
    <w:p>
      <w:pPr>
        <w:spacing w:before="0" w:after="40" w:line="235" w:lineRule="auto"/>
        <w:jc w:val="both"/>
      </w:pPr>
      <w:r>
        <w:rPr>
          <w:rFonts w:ascii="Times New Roman" w:hAnsi="Times New Roman"/>
          <w:b w:val="0"/>
          <w:i w:val="0"/>
          <w:sz w:val="24"/>
        </w:rPr>
        <w:t xml:space="preserve">Our modelling architecture operates in two tiers (Figure 7, left). </w:t>
      </w:r>
      <w:r>
        <w:rPr>
          <w:rFonts w:ascii="Times New Roman" w:hAnsi="Times New Roman"/>
          <w:b/>
          <w:i w:val="0"/>
          <w:sz w:val="24"/>
        </w:rPr>
        <w:t>Tier 1 (Biometric + OCR Identity Fusion)</w:t>
      </w:r>
      <w:r>
        <w:rPr>
          <w:rFonts w:ascii="Times New Roman" w:hAnsi="Times New Roman"/>
          <w:b w:val="0"/>
          <w:i w:val="0"/>
          <w:sz w:val="24"/>
        </w:rPr>
        <w:t xml:space="preserve"> pairs a CRNN plate reader with a MobileNetV3 128-D face encoder. Because six Qingqi rickshaws in our pilot are shared across shifts, a single plate is often driven by a fair morning driver (Φ ≈ 1.02) and an overpriced evening driver (Φ ≈ 1.75) who would otherwise be blurred into one misleading profile. </w:t>
      </w:r>
      <w:r>
        <w:rPr>
          <w:rFonts w:ascii="Times New Roman" w:hAnsi="Times New Roman"/>
          <w:b/>
          <w:i w:val="0"/>
          <w:sz w:val="24"/>
        </w:rPr>
        <w:t>Tier 2 (Behavioural Prediction)</w:t>
      </w:r>
      <w:r>
        <w:rPr>
          <w:rFonts w:ascii="Times New Roman" w:hAnsi="Times New Roman"/>
          <w:b w:val="0"/>
          <w:i w:val="0"/>
          <w:sz w:val="24"/>
        </w:rPr>
        <w:t xml:space="preserve"> trains a Gradient-Boosted Regressor (GBR) to predict Fare_fair from distance, corridor, hour, weekend indicator, and ambient speed v_base, plus a multiclass GBR pace classifier. Plotting 4-week driver medians reveals four behavioural clusters and confirms that pace and pricing require separate badges (Figure 7, right).</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148840" cy="1199353"/>
                  <wp:docPr id="9" name="Picture 9"/>
                  <wp:cNvGraphicFramePr>
                    <a:graphicFrameLocks noChangeAspect="1"/>
                  </wp:cNvGraphicFramePr>
                  <a:graphic>
                    <a:graphicData uri="http://schemas.openxmlformats.org/drawingml/2006/picture">
                      <pic:pic>
                        <pic:nvPicPr>
                          <pic:cNvPr id="0" name="data_journey.jpg"/>
                          <pic:cNvPicPr/>
                        </pic:nvPicPr>
                        <pic:blipFill>
                          <a:blip r:embed="rId19"/>
                          <a:stretch>
                            <a:fillRect/>
                          </a:stretch>
                        </pic:blipFill>
                        <pic:spPr>
                          <a:xfrm>
                            <a:off x="0" y="0"/>
                            <a:ext cx="2148840" cy="1199353"/>
                          </a:xfrm>
                          <a:prstGeom prst="rect"/>
                        </pic:spPr>
                      </pic:pic>
                    </a:graphicData>
                  </a:graphic>
                </wp:inline>
              </w:drawing>
            </w:r>
          </w:p>
        </w:tc>
        <w:tc>
          <w:tcPr>
            <w:tcW w:type="dxa" w:w="4989"/>
          </w:tcPr>
          <w:p>
            <w:r>
              <w:drawing>
                <wp:inline xmlns:a="http://schemas.openxmlformats.org/drawingml/2006/main" xmlns:pic="http://schemas.openxmlformats.org/drawingml/2006/picture">
                  <wp:extent cx="2286000" cy="1319678"/>
                  <wp:docPr id="10" name="Picture 10"/>
                  <wp:cNvGraphicFramePr>
                    <a:graphicFrameLocks noChangeAspect="1"/>
                  </wp:cNvGraphicFramePr>
                  <a:graphic>
                    <a:graphicData uri="http://schemas.openxmlformats.org/drawingml/2006/picture">
                      <pic:pic>
                        <pic:nvPicPr>
                          <pic:cNvPr id="0" name="fig_quadrant.png"/>
                          <pic:cNvPicPr/>
                        </pic:nvPicPr>
                        <pic:blipFill>
                          <a:blip r:embed="rId20"/>
                          <a:stretch>
                            <a:fillRect/>
                          </a:stretch>
                        </pic:blipFill>
                        <pic:spPr>
                          <a:xfrm>
                            <a:off x="0" y="0"/>
                            <a:ext cx="2286000" cy="1319678"/>
                          </a:xfrm>
                          <a:prstGeom prst="rect"/>
                        </pic:spPr>
                      </pic:pic>
                    </a:graphicData>
                  </a:graphic>
                </wp:inline>
              </w:drawing>
            </w:r>
          </w:p>
        </w:tc>
      </w:tr>
    </w:tbl>
    <w:p>
      <w:pPr>
        <w:spacing w:before="20" w:after="60"/>
        <w:jc w:val="left"/>
      </w:pPr>
      <w:r>
        <w:rPr>
          <w:rFonts w:ascii="Times New Roman" w:hAnsi="Times New Roman"/>
          <w:b/>
          <w:i w:val="0"/>
          <w:color w:val="1B365D"/>
          <w:sz w:val="18"/>
        </w:rPr>
        <w:t xml:space="preserve">Figure 7: </w:t>
      </w:r>
      <w:r>
        <w:rPr>
          <w:rFonts w:ascii="Times New Roman" w:hAnsi="Times New Roman"/>
          <w:b w:val="0"/>
          <w:i w:val="0"/>
          <w:color w:val="334155"/>
          <w:sz w:val="18"/>
        </w:rPr>
        <w:t>Left: single-scan data journey from Qingqi phone capture to cloud inference and scorecard. Right: 40 driver profiles across the Pace Index (Π) vs. Fare Ratio (Φ) quadrant.</w:t>
      </w:r>
    </w:p>
    <w:p>
      <w:pPr>
        <w:keepNext/>
        <w:spacing w:before="40" w:after="20"/>
        <w:pBdr>
          <w:bottom w:val="single" w:sz="8" w:space="1" w:color="1F7A7A"/>
        </w:pBdr>
      </w:pPr>
      <w:r>
        <w:rPr>
          <w:rFonts w:ascii="Times New Roman" w:hAnsi="Times New Roman"/>
          <w:b/>
          <w:i w:val="0"/>
          <w:color w:val="1B365D"/>
          <w:sz w:val="32"/>
        </w:rPr>
        <w:t>8. Evaluate: How Reliable Is the Result?</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2F7"/>
            <w:tcMar>
              <w:top w:w="30" w:type="dxa"/>
              <w:bottom w:w="30" w:type="dxa"/>
              <w:left w:w="80" w:type="dxa"/>
              <w:right w:w="80" w:type="dxa"/>
            </w:tcMar>
          </w:tcPr>
          <w:p>
            <w:pPr>
              <w:spacing w:before="0" w:after="0"/>
            </w:pPr>
            <w:r>
              <w:rPr>
                <w:rFonts w:ascii="Times New Roman" w:hAnsi="Times New Roman"/>
                <w:b/>
                <w:i w:val="0"/>
                <w:color w:val="1B365D"/>
                <w:sz w:val="28"/>
              </w:rPr>
              <w:t>Stage 6 · EVALUATE</w:t>
            </w:r>
          </w:p>
        </w:tc>
        <w:tc>
          <w:tcPr>
            <w:tcW w:type="dxa" w:w="5472"/>
            <w:shd w:fill="EBF2F7"/>
            <w:tcMar>
              <w:top w:w="30" w:type="dxa"/>
              <w:bottom w:w="30" w:type="dxa"/>
              <w:left w:w="80" w:type="dxa"/>
              <w:right w:w="80" w:type="dxa"/>
            </w:tcMar>
          </w:tcPr>
          <w:p>
            <w:pPr>
              <w:spacing w:before="0" w:after="0"/>
              <w:jc w:val="right"/>
            </w:pPr>
            <w:r>
              <w:rPr>
                <w:rFonts w:ascii="Times New Roman" w:hAnsi="Times New Roman"/>
                <w:b w:val="0"/>
                <w:i/>
                <w:color w:val="334155"/>
                <w:sz w:val="24"/>
              </w:rPr>
              <w:t>How reliable is the result?</w:t>
            </w:r>
          </w:p>
        </w:tc>
      </w:tr>
    </w:tbl>
    <w:p>
      <w:pPr>
        <w:spacing w:before="0" w:after="40" w:line="235" w:lineRule="auto"/>
        <w:jc w:val="both"/>
      </w:pPr>
      <w:r>
        <w:rPr>
          <w:rFonts w:ascii="Times New Roman" w:hAnsi="Times New Roman"/>
          <w:b w:val="0"/>
          <w:i w:val="0"/>
          <w:sz w:val="24"/>
        </w:rPr>
        <w:t xml:space="preserve">To prevent temporal leakage, models are trained strictly on Weeks 1–3 (808 clean rides) and evaluated on the unseen Week-4 holdout (263 rides across all 40 drivers; Table 5). Fair-fare GBR achieves a Mean Absolute Error of </w:t>
      </w:r>
      <w:r>
        <w:rPr>
          <w:rFonts w:ascii="Times New Roman" w:hAnsi="Times New Roman"/>
          <w:b/>
          <w:i w:val="0"/>
          <w:sz w:val="24"/>
        </w:rPr>
        <w:t>1.8 PKR</w:t>
      </w:r>
      <w:r>
        <w:rPr>
          <w:rFonts w:ascii="Times New Roman" w:hAnsi="Times New Roman"/>
          <w:b w:val="0"/>
          <w:i w:val="0"/>
          <w:sz w:val="24"/>
        </w:rPr>
        <w:t xml:space="preserve"> against a &lt; 5 PKR target (beating distance-only linear regression at 2.6 PKR and a flat median rate at 22.5 PKR). Single-ride pace reaches macro </w:t>
      </w:r>
      <w:r>
        <w:rPr>
          <w:rFonts w:ascii="Times New Roman" w:hAnsi="Times New Roman"/>
          <w:b/>
          <w:i w:val="0"/>
          <w:sz w:val="24"/>
        </w:rPr>
        <w:t>F1 = 0.71</w:t>
      </w:r>
      <w:r>
        <w:rPr>
          <w:rFonts w:ascii="Times New Roman" w:hAnsi="Times New Roman"/>
          <w:b w:val="0"/>
          <w:i w:val="0"/>
          <w:sz w:val="24"/>
        </w:rPr>
        <w:t xml:space="preserve"> (below the 0.88 target, vs. 0.54 for raw speed) because individual trips suffer from one-off traffic luck, whereas aggregating over ≥ 5 rides eliminates single-trip noise and lifts driver-level Pace Badge accuracy to </w:t>
      </w:r>
      <w:r>
        <w:rPr>
          <w:rFonts w:ascii="Times New Roman" w:hAnsi="Times New Roman"/>
          <w:b/>
          <w:i w:val="0"/>
          <w:sz w:val="24"/>
        </w:rPr>
        <w:t>100%</w:t>
      </w:r>
      <w:r>
        <w:rPr>
          <w:rFonts w:ascii="Times New Roman" w:hAnsi="Times New Roman"/>
          <w:b w:val="0"/>
          <w:i w:val="0"/>
          <w:sz w:val="24"/>
        </w:rPr>
        <w:t xml:space="preserve"> (versus 90.0% using raw speed; Figure 8).</w:t>
      </w:r>
    </w:p>
    <w:p>
      <w:pPr>
        <w:spacing w:before="20" w:after="60"/>
        <w:jc w:val="left"/>
      </w:pPr>
      <w:r>
        <w:rPr>
          <w:rFonts w:ascii="Times New Roman" w:hAnsi="Times New Roman"/>
          <w:b/>
          <w:i w:val="0"/>
          <w:color w:val="1B365D"/>
          <w:sz w:val="18"/>
        </w:rPr>
        <w:t xml:space="preserve">Table 5: </w:t>
      </w:r>
      <w:r>
        <w:rPr>
          <w:rFonts w:ascii="Times New Roman" w:hAnsi="Times New Roman"/>
          <w:b w:val="0"/>
          <w:i w:val="0"/>
          <w:color w:val="334155"/>
          <w:sz w:val="18"/>
        </w:rPr>
        <w:t>Holdout evaluation summary on unseen Week-4 trips (n = 263 rides, 40 drivers).</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1996"/>
        <w:gridCol w:w="1996"/>
        <w:gridCol w:w="1996"/>
        <w:gridCol w:w="1996"/>
        <w:gridCol w:w="1996"/>
      </w:tblGrid>
      <w:tr>
        <w:tc>
          <w:tcPr>
            <w:tcW w:type="dxa" w:w="1996"/>
            <w:shd w:fill="1B365D"/>
            <w:tcMar>
              <w:top w:w="5" w:type="dxa"/>
              <w:bottom w:w="5" w:type="dxa"/>
              <w:left w:w="55" w:type="dxa"/>
              <w:right w:w="55" w:type="dxa"/>
            </w:tcMar>
            <w:vAlign w:val="center"/>
          </w:tcPr>
          <w:p>
            <w:pPr>
              <w:spacing w:before="0" w:after="0" w:line="240" w:lineRule="auto"/>
              <w:jc w:val="left"/>
            </w:pPr>
            <w:r>
              <w:rPr>
                <w:rFonts w:ascii="Times New Roman" w:hAnsi="Times New Roman"/>
                <w:b/>
                <w:i w:val="0"/>
                <w:color w:val="FFFFFF"/>
                <w:sz w:val="17"/>
              </w:rPr>
              <w:t>Module</w:t>
            </w:r>
          </w:p>
        </w:tc>
        <w:tc>
          <w:tcPr>
            <w:tcW w:type="dxa" w:w="1996"/>
            <w:shd w:fill="1B365D"/>
            <w:tcMar>
              <w:top w:w="5" w:type="dxa"/>
              <w:bottom w:w="5" w:type="dxa"/>
              <w:left w:w="55" w:type="dxa"/>
              <w:right w:w="55" w:type="dxa"/>
            </w:tcMar>
            <w:vAlign w:val="center"/>
          </w:tcPr>
          <w:p>
            <w:pPr>
              <w:spacing w:before="0" w:after="0" w:line="240" w:lineRule="auto"/>
              <w:jc w:val="left"/>
            </w:pPr>
            <w:r>
              <w:rPr>
                <w:rFonts w:ascii="Times New Roman" w:hAnsi="Times New Roman"/>
                <w:b/>
                <w:i w:val="0"/>
                <w:color w:val="FFFFFF"/>
                <w:sz w:val="17"/>
              </w:rPr>
              <w:t>Metric and baseline comparison</w:t>
            </w:r>
          </w:p>
        </w:tc>
        <w:tc>
          <w:tcPr>
            <w:tcW w:type="dxa" w:w="1996"/>
            <w:shd w:fill="1B365D"/>
            <w:tcMar>
              <w:top w:w="5" w:type="dxa"/>
              <w:bottom w:w="5" w:type="dxa"/>
              <w:left w:w="55" w:type="dxa"/>
              <w:right w:w="55" w:type="dxa"/>
            </w:tcMar>
            <w:vAlign w:val="center"/>
          </w:tcPr>
          <w:p>
            <w:pPr>
              <w:spacing w:before="0" w:after="0" w:line="240" w:lineRule="auto"/>
              <w:jc w:val="left"/>
            </w:pPr>
            <w:r>
              <w:rPr>
                <w:rFonts w:ascii="Times New Roman" w:hAnsi="Times New Roman"/>
                <w:b/>
                <w:i w:val="0"/>
                <w:color w:val="FFFFFF"/>
                <w:sz w:val="17"/>
              </w:rPr>
              <w:t>Target</w:t>
            </w:r>
          </w:p>
        </w:tc>
        <w:tc>
          <w:tcPr>
            <w:tcW w:type="dxa" w:w="1996"/>
            <w:shd w:fill="1B365D"/>
            <w:tcMar>
              <w:top w:w="5" w:type="dxa"/>
              <w:bottom w:w="5" w:type="dxa"/>
              <w:left w:w="55" w:type="dxa"/>
              <w:right w:w="55" w:type="dxa"/>
            </w:tcMar>
            <w:vAlign w:val="center"/>
          </w:tcPr>
          <w:p>
            <w:pPr>
              <w:spacing w:before="0" w:after="0" w:line="240" w:lineRule="auto"/>
              <w:jc w:val="left"/>
            </w:pPr>
            <w:r>
              <w:rPr>
                <w:rFonts w:ascii="Times New Roman" w:hAnsi="Times New Roman"/>
                <w:b/>
                <w:i w:val="0"/>
                <w:color w:val="FFFFFF"/>
                <w:sz w:val="17"/>
              </w:rPr>
              <w:t>Mock result</w:t>
            </w:r>
          </w:p>
        </w:tc>
        <w:tc>
          <w:tcPr>
            <w:tcW w:type="dxa" w:w="1996"/>
            <w:shd w:fill="1B365D"/>
            <w:tcMar>
              <w:top w:w="5" w:type="dxa"/>
              <w:bottom w:w="5" w:type="dxa"/>
              <w:left w:w="55" w:type="dxa"/>
              <w:right w:w="55" w:type="dxa"/>
            </w:tcMar>
            <w:vAlign w:val="center"/>
          </w:tcPr>
          <w:p>
            <w:pPr>
              <w:spacing w:before="0" w:after="0" w:line="240" w:lineRule="auto"/>
              <w:jc w:val="left"/>
            </w:pPr>
            <w:r>
              <w:rPr>
                <w:rFonts w:ascii="Times New Roman" w:hAnsi="Times New Roman"/>
                <w:b/>
                <w:i w:val="0"/>
                <w:color w:val="FFFFFF"/>
                <w:sz w:val="17"/>
              </w:rPr>
              <w:t>Status</w:t>
            </w:r>
          </w:p>
        </w:tc>
      </w:tr>
      <w:tr>
        <w:tc>
          <w:tcPr>
            <w:tcW w:type="dxa" w:w="1996"/>
            <w:shd w:fill="EBF2F7"/>
            <w:tcMar>
              <w:top w:w="5" w:type="dxa"/>
              <w:bottom w:w="5" w:type="dxa"/>
              <w:left w:w="55" w:type="dxa"/>
              <w:right w:w="55" w:type="dxa"/>
            </w:tcMar>
            <w:vAlign w:val="center"/>
          </w:tcPr>
          <w:p>
            <w:pPr>
              <w:spacing w:before="0" w:after="0" w:line="240" w:lineRule="auto"/>
              <w:jc w:val="left"/>
            </w:pPr>
            <w:r>
              <w:rPr>
                <w:rFonts w:ascii="Times New Roman" w:hAnsi="Times New Roman"/>
                <w:b/>
                <w:i w:val="0"/>
                <w:color w:val="1B365D"/>
                <w:sz w:val="17"/>
              </w:rPr>
              <w:t>Driver identity</w:t>
            </w:r>
          </w:p>
        </w:tc>
        <w:tc>
          <w:tcPr>
            <w:tcW w:type="dxa" w:w="1996"/>
            <w:tcMar>
              <w:top w:w="5" w:type="dxa"/>
              <w:bottom w:w="5" w:type="dxa"/>
              <w:left w:w="55" w:type="dxa"/>
              <w:right w:w="55" w:type="dxa"/>
            </w:tcMar>
            <w:vAlign w:val="center"/>
          </w:tcPr>
          <w:p>
            <w:pPr>
              <w:spacing w:before="0" w:after="0" w:line="240" w:lineRule="auto"/>
              <w:jc w:val="left"/>
            </w:pPr>
            <w:r>
              <w:rPr>
                <w:rFonts w:ascii="Times New Roman" w:hAnsi="Times New Roman"/>
                <w:b w:val="0"/>
                <w:i w:val="0"/>
                <w:sz w:val="17"/>
              </w:rPr>
              <w:t>Precision of verified IDs (plate-only baseline: 83.5%)</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val="0"/>
                <w:i w:val="0"/>
                <w:sz w:val="17"/>
              </w:rPr>
              <w:t>≥ 93%</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i w:val="0"/>
                <w:sz w:val="17"/>
              </w:rPr>
              <w:t>99.8%</w:t>
            </w:r>
          </w:p>
        </w:tc>
        <w:tc>
          <w:tcPr>
            <w:tcW w:type="dxa" w:w="1996"/>
            <w:shd w:fill="E6F2F2"/>
            <w:tcMar>
              <w:top w:w="5" w:type="dxa"/>
              <w:bottom w:w="5" w:type="dxa"/>
              <w:left w:w="55" w:type="dxa"/>
              <w:right w:w="55" w:type="dxa"/>
            </w:tcMar>
            <w:vAlign w:val="center"/>
          </w:tcPr>
          <w:p>
            <w:pPr>
              <w:spacing w:before="0" w:after="0" w:line="240" w:lineRule="auto"/>
              <w:jc w:val="center"/>
            </w:pPr>
            <w:r>
              <w:rPr>
                <w:rFonts w:ascii="Times New Roman" w:hAnsi="Times New Roman"/>
                <w:b/>
                <w:i w:val="0"/>
                <w:color w:val="1F7A7A"/>
                <w:sz w:val="17"/>
              </w:rPr>
              <w:t>Met</w:t>
            </w:r>
          </w:p>
        </w:tc>
      </w:tr>
      <w:tr>
        <w:tc>
          <w:tcPr>
            <w:tcW w:type="dxa" w:w="1996"/>
            <w:shd w:fill="EBF2F7"/>
            <w:tcMar>
              <w:top w:w="5" w:type="dxa"/>
              <w:bottom w:w="5" w:type="dxa"/>
              <w:left w:w="55" w:type="dxa"/>
              <w:right w:w="55" w:type="dxa"/>
            </w:tcMar>
            <w:vAlign w:val="center"/>
          </w:tcPr>
          <w:p>
            <w:pPr>
              <w:spacing w:before="0" w:after="0" w:line="240" w:lineRule="auto"/>
              <w:jc w:val="left"/>
            </w:pPr>
            <w:r>
              <w:rPr>
                <w:rFonts w:ascii="Times New Roman" w:hAnsi="Times New Roman"/>
                <w:b/>
                <w:i w:val="0"/>
                <w:color w:val="1B365D"/>
                <w:sz w:val="17"/>
              </w:rPr>
              <w:t>Walking-tail filter</w:t>
            </w:r>
          </w:p>
        </w:tc>
        <w:tc>
          <w:tcPr>
            <w:tcW w:type="dxa" w:w="1996"/>
            <w:tcMar>
              <w:top w:w="5" w:type="dxa"/>
              <w:bottom w:w="5" w:type="dxa"/>
              <w:left w:w="55" w:type="dxa"/>
              <w:right w:w="55" w:type="dxa"/>
            </w:tcMar>
            <w:vAlign w:val="center"/>
          </w:tcPr>
          <w:p>
            <w:pPr>
              <w:spacing w:before="0" w:after="0" w:line="240" w:lineRule="auto"/>
              <w:jc w:val="left"/>
            </w:pPr>
            <w:r>
              <w:rPr>
                <w:rFonts w:ascii="Times New Roman" w:hAnsi="Times New Roman"/>
                <w:b w:val="0"/>
                <w:i w:val="0"/>
                <w:sz w:val="17"/>
              </w:rPr>
              <w:t>Recall on 148 forgotten End Ride walking tails (100% precision)</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val="0"/>
                <w:i w:val="0"/>
                <w:sz w:val="17"/>
              </w:rPr>
              <w:t>≥ 0.80</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i w:val="0"/>
                <w:sz w:val="17"/>
              </w:rPr>
              <w:t>0.82</w:t>
            </w:r>
          </w:p>
        </w:tc>
        <w:tc>
          <w:tcPr>
            <w:tcW w:type="dxa" w:w="1996"/>
            <w:shd w:fill="E6F2F2"/>
            <w:tcMar>
              <w:top w:w="5" w:type="dxa"/>
              <w:bottom w:w="5" w:type="dxa"/>
              <w:left w:w="55" w:type="dxa"/>
              <w:right w:w="55" w:type="dxa"/>
            </w:tcMar>
            <w:vAlign w:val="center"/>
          </w:tcPr>
          <w:p>
            <w:pPr>
              <w:spacing w:before="0" w:after="0" w:line="240" w:lineRule="auto"/>
              <w:jc w:val="center"/>
            </w:pPr>
            <w:r>
              <w:rPr>
                <w:rFonts w:ascii="Times New Roman" w:hAnsi="Times New Roman"/>
                <w:b/>
                <w:i w:val="0"/>
                <w:color w:val="1F7A7A"/>
                <w:sz w:val="17"/>
              </w:rPr>
              <w:t>Met</w:t>
            </w:r>
          </w:p>
        </w:tc>
      </w:tr>
      <w:tr>
        <w:tc>
          <w:tcPr>
            <w:tcW w:type="dxa" w:w="1996"/>
            <w:shd w:fill="EBF2F7"/>
            <w:tcMar>
              <w:top w:w="5" w:type="dxa"/>
              <w:bottom w:w="5" w:type="dxa"/>
              <w:left w:w="55" w:type="dxa"/>
              <w:right w:w="55" w:type="dxa"/>
            </w:tcMar>
            <w:vAlign w:val="center"/>
          </w:tcPr>
          <w:p>
            <w:pPr>
              <w:spacing w:before="0" w:after="0" w:line="240" w:lineRule="auto"/>
              <w:jc w:val="left"/>
            </w:pPr>
            <w:r>
              <w:rPr>
                <w:rFonts w:ascii="Times New Roman" w:hAnsi="Times New Roman"/>
                <w:b/>
                <w:i w:val="0"/>
                <w:color w:val="1B365D"/>
                <w:sz w:val="17"/>
              </w:rPr>
              <w:t>Fair-fare regressor</w:t>
            </w:r>
          </w:p>
        </w:tc>
        <w:tc>
          <w:tcPr>
            <w:tcW w:type="dxa" w:w="1996"/>
            <w:tcMar>
              <w:top w:w="5" w:type="dxa"/>
              <w:bottom w:w="5" w:type="dxa"/>
              <w:left w:w="55" w:type="dxa"/>
              <w:right w:w="55" w:type="dxa"/>
            </w:tcMar>
            <w:vAlign w:val="center"/>
          </w:tcPr>
          <w:p>
            <w:pPr>
              <w:spacing w:before="0" w:after="0" w:line="240" w:lineRule="auto"/>
              <w:jc w:val="left"/>
            </w:pPr>
            <w:r>
              <w:rPr>
                <w:rFonts w:ascii="Times New Roman" w:hAnsi="Times New Roman"/>
                <w:b w:val="0"/>
                <w:i w:val="0"/>
                <w:sz w:val="17"/>
              </w:rPr>
              <w:t>Holdout MAE (linear: 2.6 PKR; flat rate: 22.5 PKR)</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val="0"/>
                <w:i w:val="0"/>
                <w:sz w:val="17"/>
              </w:rPr>
              <w:t>&lt; 5 PKR</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i w:val="0"/>
                <w:sz w:val="17"/>
              </w:rPr>
              <w:t>1.8 PKR</w:t>
            </w:r>
          </w:p>
        </w:tc>
        <w:tc>
          <w:tcPr>
            <w:tcW w:type="dxa" w:w="1996"/>
            <w:shd w:fill="E6F2F2"/>
            <w:tcMar>
              <w:top w:w="5" w:type="dxa"/>
              <w:bottom w:w="5" w:type="dxa"/>
              <w:left w:w="55" w:type="dxa"/>
              <w:right w:w="55" w:type="dxa"/>
            </w:tcMar>
            <w:vAlign w:val="center"/>
          </w:tcPr>
          <w:p>
            <w:pPr>
              <w:spacing w:before="0" w:after="0" w:line="240" w:lineRule="auto"/>
              <w:jc w:val="center"/>
            </w:pPr>
            <w:r>
              <w:rPr>
                <w:rFonts w:ascii="Times New Roman" w:hAnsi="Times New Roman"/>
                <w:b/>
                <w:i w:val="0"/>
                <w:color w:val="1F7A7A"/>
                <w:sz w:val="17"/>
              </w:rPr>
              <w:t>Met</w:t>
            </w:r>
          </w:p>
        </w:tc>
      </w:tr>
      <w:tr>
        <w:tc>
          <w:tcPr>
            <w:tcW w:type="dxa" w:w="1996"/>
            <w:shd w:fill="EBF2F7"/>
            <w:tcMar>
              <w:top w:w="5" w:type="dxa"/>
              <w:bottom w:w="5" w:type="dxa"/>
              <w:left w:w="55" w:type="dxa"/>
              <w:right w:w="55" w:type="dxa"/>
            </w:tcMar>
            <w:vAlign w:val="center"/>
          </w:tcPr>
          <w:p>
            <w:pPr>
              <w:spacing w:before="0" w:after="0" w:line="240" w:lineRule="auto"/>
              <w:jc w:val="left"/>
            </w:pPr>
            <w:r>
              <w:rPr>
                <w:rFonts w:ascii="Times New Roman" w:hAnsi="Times New Roman"/>
                <w:b/>
                <w:i w:val="0"/>
                <w:color w:val="1B365D"/>
                <w:sz w:val="17"/>
              </w:rPr>
              <w:t>Pace (single ride)</w:t>
            </w:r>
          </w:p>
        </w:tc>
        <w:tc>
          <w:tcPr>
            <w:tcW w:type="dxa" w:w="1996"/>
            <w:tcMar>
              <w:top w:w="5" w:type="dxa"/>
              <w:bottom w:w="5" w:type="dxa"/>
              <w:left w:w="55" w:type="dxa"/>
              <w:right w:w="55" w:type="dxa"/>
            </w:tcMar>
            <w:vAlign w:val="center"/>
          </w:tcPr>
          <w:p>
            <w:pPr>
              <w:spacing w:before="0" w:after="0" w:line="240" w:lineRule="auto"/>
              <w:jc w:val="left"/>
            </w:pPr>
            <w:r>
              <w:rPr>
                <w:rFonts w:ascii="Times New Roman" w:hAnsi="Times New Roman"/>
                <w:b w:val="0"/>
                <w:i w:val="0"/>
                <w:sz w:val="17"/>
              </w:rPr>
              <w:t>Macro F1 on individual trips (raw speed baseline: 0.54)</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val="0"/>
                <w:i w:val="0"/>
                <w:sz w:val="17"/>
              </w:rPr>
              <w:t>≥ 0.88</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i w:val="0"/>
                <w:sz w:val="17"/>
              </w:rPr>
              <w:t>0.71</w:t>
            </w:r>
          </w:p>
        </w:tc>
        <w:tc>
          <w:tcPr>
            <w:tcW w:type="dxa" w:w="1996"/>
            <w:shd w:fill="F9EBEB"/>
            <w:tcMar>
              <w:top w:w="5" w:type="dxa"/>
              <w:bottom w:w="5" w:type="dxa"/>
              <w:left w:w="55" w:type="dxa"/>
              <w:right w:w="55" w:type="dxa"/>
            </w:tcMar>
            <w:vAlign w:val="center"/>
          </w:tcPr>
          <w:p>
            <w:pPr>
              <w:spacing w:before="0" w:after="0" w:line="240" w:lineRule="auto"/>
              <w:jc w:val="center"/>
            </w:pPr>
            <w:r>
              <w:rPr>
                <w:rFonts w:ascii="Times New Roman" w:hAnsi="Times New Roman"/>
                <w:b/>
                <w:i w:val="0"/>
                <w:color w:val="A82020"/>
                <w:sz w:val="17"/>
              </w:rPr>
              <w:t>Not met</w:t>
            </w:r>
          </w:p>
        </w:tc>
      </w:tr>
      <w:tr>
        <w:tc>
          <w:tcPr>
            <w:tcW w:type="dxa" w:w="1996"/>
            <w:shd w:fill="EBF2F7"/>
            <w:tcMar>
              <w:top w:w="5" w:type="dxa"/>
              <w:bottom w:w="5" w:type="dxa"/>
              <w:left w:w="55" w:type="dxa"/>
              <w:right w:w="55" w:type="dxa"/>
            </w:tcMar>
            <w:vAlign w:val="center"/>
          </w:tcPr>
          <w:p>
            <w:pPr>
              <w:spacing w:before="0" w:after="0" w:line="240" w:lineRule="auto"/>
              <w:jc w:val="left"/>
            </w:pPr>
            <w:r>
              <w:rPr>
                <w:rFonts w:ascii="Times New Roman" w:hAnsi="Times New Roman"/>
                <w:b/>
                <w:i w:val="0"/>
                <w:color w:val="1B365D"/>
                <w:sz w:val="17"/>
              </w:rPr>
              <w:t>Pace (driver badge)</w:t>
            </w:r>
          </w:p>
        </w:tc>
        <w:tc>
          <w:tcPr>
            <w:tcW w:type="dxa" w:w="1996"/>
            <w:tcMar>
              <w:top w:w="5" w:type="dxa"/>
              <w:bottom w:w="5" w:type="dxa"/>
              <w:left w:w="55" w:type="dxa"/>
              <w:right w:w="55" w:type="dxa"/>
            </w:tcMar>
            <w:vAlign w:val="center"/>
          </w:tcPr>
          <w:p>
            <w:pPr>
              <w:spacing w:before="0" w:after="0" w:line="240" w:lineRule="auto"/>
              <w:jc w:val="left"/>
            </w:pPr>
            <w:r>
              <w:rPr>
                <w:rFonts w:ascii="Times New Roman" w:hAnsi="Times New Roman"/>
                <w:b w:val="0"/>
                <w:i w:val="0"/>
                <w:sz w:val="17"/>
              </w:rPr>
              <w:t>Badge accuracy over ≥ 5 rides (raw speed baseline: 90.0%)</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val="0"/>
                <w:i w:val="0"/>
                <w:sz w:val="17"/>
              </w:rPr>
              <w:t>≥ 90%</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i w:val="0"/>
                <w:sz w:val="17"/>
              </w:rPr>
              <w:t>100%</w:t>
            </w:r>
          </w:p>
        </w:tc>
        <w:tc>
          <w:tcPr>
            <w:tcW w:type="dxa" w:w="1996"/>
            <w:shd w:fill="E6F2F2"/>
            <w:tcMar>
              <w:top w:w="5" w:type="dxa"/>
              <w:bottom w:w="5" w:type="dxa"/>
              <w:left w:w="55" w:type="dxa"/>
              <w:right w:w="55" w:type="dxa"/>
            </w:tcMar>
            <w:vAlign w:val="center"/>
          </w:tcPr>
          <w:p>
            <w:pPr>
              <w:spacing w:before="0" w:after="0" w:line="240" w:lineRule="auto"/>
              <w:jc w:val="center"/>
            </w:pPr>
            <w:r>
              <w:rPr>
                <w:rFonts w:ascii="Times New Roman" w:hAnsi="Times New Roman"/>
                <w:b/>
                <w:i w:val="0"/>
                <w:color w:val="1F7A7A"/>
                <w:sz w:val="17"/>
              </w:rPr>
              <w:t>Met</w:t>
            </w:r>
          </w:p>
        </w:tc>
      </w:tr>
      <w:tr>
        <w:tc>
          <w:tcPr>
            <w:tcW w:type="dxa" w:w="1996"/>
            <w:shd w:fill="EBF2F7"/>
            <w:tcMar>
              <w:top w:w="5" w:type="dxa"/>
              <w:bottom w:w="5" w:type="dxa"/>
              <w:left w:w="55" w:type="dxa"/>
              <w:right w:w="55" w:type="dxa"/>
            </w:tcMar>
            <w:vAlign w:val="center"/>
          </w:tcPr>
          <w:p>
            <w:pPr>
              <w:spacing w:before="0" w:after="0" w:line="240" w:lineRule="auto"/>
              <w:jc w:val="left"/>
            </w:pPr>
            <w:r>
              <w:rPr>
                <w:rFonts w:ascii="Times New Roman" w:hAnsi="Times New Roman"/>
                <w:b/>
                <w:i w:val="0"/>
                <w:color w:val="1B365D"/>
                <w:sz w:val="17"/>
              </w:rPr>
              <w:t>Fare badge</w:t>
            </w:r>
          </w:p>
        </w:tc>
        <w:tc>
          <w:tcPr>
            <w:tcW w:type="dxa" w:w="1996"/>
            <w:tcMar>
              <w:top w:w="5" w:type="dxa"/>
              <w:bottom w:w="5" w:type="dxa"/>
              <w:left w:w="55" w:type="dxa"/>
              <w:right w:w="55" w:type="dxa"/>
            </w:tcMar>
            <w:vAlign w:val="center"/>
          </w:tcPr>
          <w:p>
            <w:pPr>
              <w:spacing w:before="0" w:after="0" w:line="240" w:lineRule="auto"/>
              <w:jc w:val="left"/>
            </w:pPr>
            <w:r>
              <w:rPr>
                <w:rFonts w:ascii="Times New Roman" w:hAnsi="Times New Roman"/>
                <w:b w:val="0"/>
                <w:i w:val="0"/>
                <w:sz w:val="17"/>
              </w:rPr>
              <w:t>Overpriced flag accuracy over ≥ 5 rides</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val="0"/>
                <w:i w:val="0"/>
                <w:sz w:val="17"/>
              </w:rPr>
              <w:t>≥ 90%</w:t>
            </w:r>
          </w:p>
        </w:tc>
        <w:tc>
          <w:tcPr>
            <w:tcW w:type="dxa" w:w="1996"/>
            <w:tcMar>
              <w:top w:w="5" w:type="dxa"/>
              <w:bottom w:w="5" w:type="dxa"/>
              <w:left w:w="55" w:type="dxa"/>
              <w:right w:w="55" w:type="dxa"/>
            </w:tcMar>
            <w:vAlign w:val="center"/>
          </w:tcPr>
          <w:p>
            <w:pPr>
              <w:spacing w:before="0" w:after="0" w:line="240" w:lineRule="auto"/>
              <w:jc w:val="center"/>
            </w:pPr>
            <w:r>
              <w:rPr>
                <w:rFonts w:ascii="Times New Roman" w:hAnsi="Times New Roman"/>
                <w:b/>
                <w:i w:val="0"/>
                <w:sz w:val="17"/>
              </w:rPr>
              <w:t>100%</w:t>
            </w:r>
          </w:p>
        </w:tc>
        <w:tc>
          <w:tcPr>
            <w:tcW w:type="dxa" w:w="1996"/>
            <w:shd w:fill="E6F2F2"/>
            <w:tcMar>
              <w:top w:w="5" w:type="dxa"/>
              <w:bottom w:w="5" w:type="dxa"/>
              <w:left w:w="55" w:type="dxa"/>
              <w:right w:w="55" w:type="dxa"/>
            </w:tcMar>
            <w:vAlign w:val="center"/>
          </w:tcPr>
          <w:p>
            <w:pPr>
              <w:spacing w:before="0" w:after="0" w:line="240" w:lineRule="auto"/>
              <w:jc w:val="center"/>
            </w:pPr>
            <w:r>
              <w:rPr>
                <w:rFonts w:ascii="Times New Roman" w:hAnsi="Times New Roman"/>
                <w:b/>
                <w:i w:val="0"/>
                <w:color w:val="1F7A7A"/>
                <w:sz w:val="17"/>
              </w:rPr>
              <w:t>Met</w:t>
            </w:r>
          </w:p>
        </w:tc>
      </w:tr>
    </w:tbl>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468880" cy="1051941"/>
                  <wp:docPr id="11" name="Picture 11"/>
                  <wp:cNvGraphicFramePr>
                    <a:graphicFrameLocks noChangeAspect="1"/>
                  </wp:cNvGraphicFramePr>
                  <a:graphic>
                    <a:graphicData uri="http://schemas.openxmlformats.org/drawingml/2006/picture">
                      <pic:pic>
                        <pic:nvPicPr>
                          <pic:cNvPr id="0" name="fig_evaluate.png"/>
                          <pic:cNvPicPr/>
                        </pic:nvPicPr>
                        <pic:blipFill>
                          <a:blip r:embed="rId21"/>
                          <a:stretch>
                            <a:fillRect/>
                          </a:stretch>
                        </pic:blipFill>
                        <pic:spPr>
                          <a:xfrm>
                            <a:off x="0" y="0"/>
                            <a:ext cx="2468880" cy="1051941"/>
                          </a:xfrm>
                          <a:prstGeom prst="rect"/>
                        </pic:spPr>
                      </pic:pic>
                    </a:graphicData>
                  </a:graphic>
                </wp:inline>
              </w:drawing>
            </w:r>
          </w:p>
        </w:tc>
        <w:tc>
          <w:tcPr>
            <w:tcW w:type="dxa" w:w="4989"/>
          </w:tcPr>
          <w:p>
            <w:r>
              <w:drawing>
                <wp:inline xmlns:a="http://schemas.openxmlformats.org/drawingml/2006/main" xmlns:pic="http://schemas.openxmlformats.org/drawingml/2006/picture">
                  <wp:extent cx="2148840" cy="746899"/>
                  <wp:docPr id="12" name="Picture 12"/>
                  <wp:cNvGraphicFramePr>
                    <a:graphicFrameLocks noChangeAspect="1"/>
                  </wp:cNvGraphicFramePr>
                  <a:graphic>
                    <a:graphicData uri="http://schemas.openxmlformats.org/drawingml/2006/picture">
                      <pic:pic>
                        <pic:nvPicPr>
                          <pic:cNvPr id="0" name="fig_normalisation.png"/>
                          <pic:cNvPicPr/>
                        </pic:nvPicPr>
                        <pic:blipFill>
                          <a:blip r:embed="rId22"/>
                          <a:stretch>
                            <a:fillRect/>
                          </a:stretch>
                        </pic:blipFill>
                        <pic:spPr>
                          <a:xfrm>
                            <a:off x="0" y="0"/>
                            <a:ext cx="2148840" cy="746899"/>
                          </a:xfrm>
                          <a:prstGeom prst="rect"/>
                        </pic:spPr>
                      </pic:pic>
                    </a:graphicData>
                  </a:graphic>
                </wp:inline>
              </w:drawing>
            </w:r>
          </w:p>
        </w:tc>
      </w:tr>
    </w:tbl>
    <w:p>
      <w:pPr>
        <w:spacing w:before="20" w:after="60"/>
        <w:jc w:val="left"/>
      </w:pPr>
      <w:r>
        <w:rPr>
          <w:rFonts w:ascii="Times New Roman" w:hAnsi="Times New Roman"/>
          <w:b/>
          <w:i w:val="0"/>
          <w:color w:val="1B365D"/>
          <w:sz w:val="18"/>
        </w:rPr>
        <w:t xml:space="preserve">Figure 8: </w:t>
      </w:r>
      <w:r>
        <w:rPr>
          <w:rFonts w:ascii="Times New Roman" w:hAnsi="Times New Roman"/>
          <w:b w:val="0"/>
          <w:i w:val="0"/>
          <w:color w:val="334155"/>
          <w:sz w:val="18"/>
        </w:rPr>
        <w:t>Left: Week-4 holdout fair-fare predictions, log-scale MAE comparison (&lt; 5 PKR target), and single-ride confusion matrix. Right: traffic normalisation (Π) outperforms raw speed.</w:t>
      </w:r>
    </w:p>
    <w:p>
      <w:pPr>
        <w:keepNext/>
        <w:pageBreakBefore/>
        <w:spacing w:before="60" w:after="30"/>
        <w:pBdr>
          <w:bottom w:val="single" w:sz="8" w:space="1" w:color="1F7A7A"/>
        </w:pBdr>
      </w:pPr>
      <w:r>
        <w:rPr>
          <w:rFonts w:ascii="Times New Roman" w:hAnsi="Times New Roman"/>
          <w:b/>
          <w:i w:val="0"/>
          <w:color w:val="1B365D"/>
          <w:sz w:val="32"/>
        </w:rPr>
        <w:t>9. Deploy: How Will the Decision Be Used?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6F2F2"/>
            <w:tcMar>
              <w:top w:w="30" w:type="dxa"/>
              <w:bottom w:w="30" w:type="dxa"/>
              <w:left w:w="80" w:type="dxa"/>
              <w:right w:w="80" w:type="dxa"/>
            </w:tcMar>
          </w:tcPr>
          <w:p>
            <w:pPr>
              <w:spacing w:before="0" w:after="0"/>
            </w:pPr>
            <w:r>
              <w:rPr>
                <w:rFonts w:ascii="Times New Roman" w:hAnsi="Times New Roman"/>
                <w:b/>
                <w:i w:val="0"/>
                <w:color w:val="1F7A7A"/>
                <w:sz w:val="28"/>
              </w:rPr>
              <w:t>Stage 7 · DEPLOY</w:t>
            </w:r>
          </w:p>
        </w:tc>
        <w:tc>
          <w:tcPr>
            <w:tcW w:type="dxa" w:w="5472"/>
            <w:shd w:fill="E6F2F2"/>
            <w:tcMar>
              <w:top w:w="30" w:type="dxa"/>
              <w:bottom w:w="30" w:type="dxa"/>
              <w:left w:w="80" w:type="dxa"/>
              <w:right w:w="80" w:type="dxa"/>
            </w:tcMar>
          </w:tcPr>
          <w:p>
            <w:pPr>
              <w:spacing w:before="0" w:after="0"/>
              <w:jc w:val="right"/>
            </w:pPr>
            <w:r>
              <w:rPr>
                <w:rFonts w:ascii="Times New Roman" w:hAnsi="Times New Roman"/>
                <w:b w:val="0"/>
                <w:i/>
                <w:color w:val="334155"/>
                <w:sz w:val="24"/>
              </w:rPr>
              <w:t>How will the decision be used?</w:t>
            </w:r>
          </w:p>
        </w:tc>
      </w:tr>
    </w:tbl>
    <w:p>
      <w:pPr>
        <w:spacing w:before="0" w:after="60" w:line="245" w:lineRule="auto"/>
        <w:jc w:val="both"/>
      </w:pPr>
      <w:r>
        <w:rPr>
          <w:rFonts w:ascii="Times New Roman" w:hAnsi="Times New Roman"/>
          <w:b w:val="0"/>
          <w:i w:val="0"/>
          <w:sz w:val="24"/>
        </w:rPr>
        <w:t xml:space="preserve">The evaluated pipeline will run behind a lightweight FastAPI service powering a three-screen mobile workflow (Figure 9, left): (1) curbside AR camera scan of the Qingqi rickshaw's plate and driver face, (2) live 5-second GPS trip telemetry along Raiwind Road and inner-city corridors with automatic walking-tail detection, and (3) an instant curbside scorecard returned within </w:t>
      </w:r>
      <w:r>
        <w:rPr>
          <w:rFonts w:ascii="Times New Roman" w:hAnsi="Times New Roman"/>
          <w:b/>
          <w:i w:val="0"/>
          <w:sz w:val="24"/>
        </w:rPr>
        <w:t>two seconds</w:t>
      </w:r>
      <w:r>
        <w:rPr>
          <w:rFonts w:ascii="Times New Roman" w:hAnsi="Times New Roman"/>
          <w:b w:val="0"/>
          <w:i w:val="0"/>
          <w:sz w:val="24"/>
        </w:rPr>
        <w:t xml:space="preserve"> so the student can negotiate (e.g. comparing a 140 PKR quote against the 80 PKR fair fare) or wave the Qingqi on before boarding.</w:t>
        <w:br/>
        <w:t xml:space="preserve">Because our Evaluate stage proved that single rides are too noisy to judge a driver fairly (F1 = 0.71), deployment enforces four operational safeguards (Table 6). First, the app displays Insufficient Rides (&lt; 5) until a driver accumulates at least five verified trips, where badge accuracy reaches 100%. Second, driver scores use an exponentially weighted moving median that weights recent rides more heavily, allowing drivers who improve their pricing or pace to recover their badge. Third, drivers can scan their own plate to inspect their log and flag disputed trips for review. Fourth, because fuel prices and inflation shift over time, the fair-fare GBR model is retrained monthly against fresh commuter benchmarks, feeding every completed trip back into the </w:t>
      </w:r>
      <w:r>
        <w:rPr>
          <w:rFonts w:ascii="Times New Roman" w:hAnsi="Times New Roman"/>
          <w:b/>
          <w:i w:val="0"/>
          <w:sz w:val="24"/>
        </w:rPr>
        <w:t>Collect</w:t>
      </w:r>
      <w:r>
        <w:rPr>
          <w:rFonts w:ascii="Times New Roman" w:hAnsi="Times New Roman"/>
          <w:b w:val="0"/>
          <w:i w:val="0"/>
          <w:sz w:val="24"/>
        </w:rPr>
        <w:t xml:space="preserve"> stage. Figure 9 (right) outlines our eight-week execution plan from prototype to Superior University Gold Campus beta.</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880360" cy="1607643"/>
                  <wp:docPr id="13" name="Picture 13"/>
                  <wp:cNvGraphicFramePr>
                    <a:graphicFrameLocks noChangeAspect="1"/>
                  </wp:cNvGraphicFramePr>
                  <a:graphic>
                    <a:graphicData uri="http://schemas.openxmlformats.org/drawingml/2006/picture">
                      <pic:pic>
                        <pic:nvPicPr>
                          <pic:cNvPr id="0" name="app_mockup.jpg"/>
                          <pic:cNvPicPr/>
                        </pic:nvPicPr>
                        <pic:blipFill>
                          <a:blip r:embed="rId23"/>
                          <a:stretch>
                            <a:fillRect/>
                          </a:stretch>
                        </pic:blipFill>
                        <pic:spPr>
                          <a:xfrm>
                            <a:off x="0" y="0"/>
                            <a:ext cx="2880360" cy="1607643"/>
                          </a:xfrm>
                          <a:prstGeom prst="rect"/>
                        </pic:spPr>
                      </pic:pic>
                    </a:graphicData>
                  </a:graphic>
                </wp:inline>
              </w:drawing>
            </w:r>
          </w:p>
        </w:tc>
        <w:tc>
          <w:tcPr>
            <w:tcW w:type="dxa" w:w="4989"/>
          </w:tcPr>
          <w:p>
            <w:r>
              <w:drawing>
                <wp:inline xmlns:a="http://schemas.openxmlformats.org/drawingml/2006/main" xmlns:pic="http://schemas.openxmlformats.org/drawingml/2006/picture">
                  <wp:extent cx="3154680" cy="947875"/>
                  <wp:docPr id="14" name="Picture 14"/>
                  <wp:cNvGraphicFramePr>
                    <a:graphicFrameLocks noChangeAspect="1"/>
                  </wp:cNvGraphicFramePr>
                  <a:graphic>
                    <a:graphicData uri="http://schemas.openxmlformats.org/drawingml/2006/picture">
                      <pic:pic>
                        <pic:nvPicPr>
                          <pic:cNvPr id="0" name="fig_timeline.png"/>
                          <pic:cNvPicPr/>
                        </pic:nvPicPr>
                        <pic:blipFill>
                          <a:blip r:embed="rId24"/>
                          <a:stretch>
                            <a:fillRect/>
                          </a:stretch>
                        </pic:blipFill>
                        <pic:spPr>
                          <a:xfrm>
                            <a:off x="0" y="0"/>
                            <a:ext cx="3154680" cy="947875"/>
                          </a:xfrm>
                          <a:prstGeom prst="rect"/>
                        </pic:spPr>
                      </pic:pic>
                    </a:graphicData>
                  </a:graphic>
                </wp:inline>
              </w:drawing>
            </w:r>
          </w:p>
        </w:tc>
      </w:tr>
    </w:tbl>
    <w:p>
      <w:pPr>
        <w:spacing w:before="20" w:after="60"/>
        <w:jc w:val="left"/>
      </w:pPr>
      <w:r>
        <w:rPr>
          <w:rFonts w:ascii="Times New Roman" w:hAnsi="Times New Roman"/>
          <w:b/>
          <w:i w:val="0"/>
          <w:color w:val="1B365D"/>
          <w:sz w:val="18"/>
        </w:rPr>
        <w:t xml:space="preserve">Figure 9: </w:t>
      </w:r>
      <w:r>
        <w:rPr>
          <w:rFonts w:ascii="Times New Roman" w:hAnsi="Times New Roman"/>
          <w:b w:val="0"/>
          <w:i w:val="0"/>
          <w:color w:val="334155"/>
          <w:sz w:val="18"/>
        </w:rPr>
        <w:t>Left: proposed three-screen mobile workflow (Qingqi AR scan, live GPS tracking to Superior University, and curbside scorecard comparing 140 PKR quoted vs. 80 PKR fair). Right: eight-week execution roadmap.</w:t>
      </w:r>
    </w:p>
    <w:p>
      <w:pPr>
        <w:spacing w:before="20" w:after="60"/>
        <w:jc w:val="left"/>
      </w:pPr>
      <w:r>
        <w:rPr>
          <w:rFonts w:ascii="Times New Roman" w:hAnsi="Times New Roman"/>
          <w:b/>
          <w:i w:val="0"/>
          <w:color w:val="1B365D"/>
          <w:sz w:val="18"/>
        </w:rPr>
        <w:t xml:space="preserve">Table 6: </w:t>
      </w:r>
      <w:r>
        <w:rPr>
          <w:rFonts w:ascii="Times New Roman" w:hAnsi="Times New Roman"/>
          <w:b w:val="0"/>
          <w:i w:val="0"/>
          <w:color w:val="334155"/>
          <w:sz w:val="18"/>
        </w:rPr>
        <w:t>Deployment safeguards translating evaluation lessons into responsible real-world operation.</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3326"/>
        <w:gridCol w:w="3326"/>
        <w:gridCol w:w="3326"/>
      </w:tblGrid>
      <w:tr>
        <w:tc>
          <w:tcPr>
            <w:tcW w:type="dxa" w:w="3326"/>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7"/>
              </w:rPr>
              <w:t>Operational risk</w:t>
            </w:r>
          </w:p>
        </w:tc>
        <w:tc>
          <w:tcPr>
            <w:tcW w:type="dxa" w:w="3326"/>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7"/>
              </w:rPr>
              <w:t>Lifecycle evidence</w:t>
            </w:r>
          </w:p>
        </w:tc>
        <w:tc>
          <w:tcPr>
            <w:tcW w:type="dxa" w:w="3326"/>
            <w:shd w:fill="1B365D"/>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7"/>
              </w:rPr>
              <w:t>Deployment safeguard in RahiScan</w:t>
            </w:r>
          </w:p>
        </w:tc>
      </w:tr>
      <w:tr>
        <w:tc>
          <w:tcPr>
            <w:tcW w:type="dxa" w:w="3326"/>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Single-ride traffic luck</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Single-ride pace macro F1 = 0.71 vs. 100% at ≥ 5 rides (Stage 6)</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Suppress pace and fare badges until a driver has ≥ 5 verified trips; show Insufficient Data otherwise.</w:t>
            </w:r>
          </w:p>
        </w:tc>
      </w:tr>
      <w:tr>
        <w:tc>
          <w:tcPr>
            <w:tcW w:type="dxa" w:w="3326"/>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Shift-shared Qingqis</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6 of 34 plates shared by day/night drivers with different habits (Stage 5)</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Key profiles to composite Plate#FaceID rather than license plate alone (99.8% precision).</w:t>
            </w:r>
          </w:p>
        </w:tc>
      </w:tr>
      <w:tr>
        <w:tc>
          <w:tcPr>
            <w:tcW w:type="dxa" w:w="3326"/>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Forgotten End Ride taps</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13.8% of trips include pedestrian walking tails (Stage 3)</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Auto-trim trailing pings with speed &lt; 6 km/h and step variance &gt; 1.0 m/s², plus push-notification prompt.</w:t>
            </w:r>
          </w:p>
        </w:tc>
      </w:tr>
      <w:tr>
        <w:tc>
          <w:tcPr>
            <w:tcW w:type="dxa" w:w="3326"/>
            <w:shd w:fill="EBF2F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B365D"/>
                <w:sz w:val="17"/>
              </w:rPr>
              <w:t>Fuel &amp; tariff drift</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Static fare models degrade when petrol prices shift (Stage 7)</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Retrain the GBR fair-fare model monthly on rolling benchmark quotes and weight recent rides exponentially.</w:t>
            </w:r>
          </w:p>
        </w:tc>
      </w:tr>
    </w:tbl>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78"/>
      </w:tblGrid>
      <w:tr>
        <w:tc>
          <w:tcPr>
            <w:tcW w:type="dxa" w:w="9978"/>
            <w:shd w:fill="2B6CB0"/>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Conclusion: Closing the Lifecycle Loop</w:t>
            </w:r>
          </w:p>
        </w:tc>
      </w:tr>
      <w:tr>
        <w:tc>
          <w:tcPr>
            <w:tcW w:type="dxa" w:w="9978"/>
            <w:shd w:fill="EBF2F7"/>
            <w:tcMar>
              <w:top w:w="20" w:type="dxa"/>
              <w:bottom w:w="20" w:type="dxa"/>
              <w:left w:w="55" w:type="dxa"/>
              <w:right w:w="55" w:type="dxa"/>
            </w:tcMar>
            <w:vAlign w:val="center"/>
          </w:tcPr>
          <w:p>
            <w:pPr>
              <w:spacing w:before="0" w:after="0" w:line="240" w:lineRule="auto"/>
              <w:jc w:val="both"/>
            </w:pPr>
            <w:r>
              <w:rPr>
                <w:rFonts w:ascii="Times New Roman" w:hAnsi="Times New Roman"/>
                <w:b w:val="0"/>
                <w:i w:val="0"/>
                <w:sz w:val="21"/>
              </w:rPr>
              <w:t>Our morning Qingqi commute to Superior University Gold Campus exposed a concrete failure mode at every stage of the Data Science Lifecycle. By validating our design on a 1,224-trip simulated Lahore pilot, we demonstrated that combining plate OCR with facial embeddings resolves shared-vehicle ambiguity at 99.8% precision, change-point trimming removes forgotten walking tails, gradient boosting predicts fair Qingqi fares (≈ 80 PKR for 9.6 km and ≈ 120 PKR from Raiwind to Gold Campus) within 1.8 PKR, and traffic-normalised multi-ride medians classify driver pace and pricing at 100% accuracy. Replacing our mock CSV streams with live student telemetry will turn RahiScan into a practical transparency tool for Lahore's daily commuters.</w:t>
            </w:r>
          </w:p>
        </w:tc>
      </w:tr>
    </w:tbl>
    <w:sectPr w:rsidR="00FC693F" w:rsidRPr="0006063C" w:rsidSect="00034616">
      <w:headerReference w:type="default" r:id="rId9"/>
      <w:footerReference w:type="default" r:id="rId10"/>
      <w:pgSz w:w="11906" w:h="16838"/>
      <w:pgMar w:top="1020"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pBdr>
        <w:top w:val="single" w:sz="4" w:space="2" w:color="94A3B8"/>
      </w:pBdr>
    </w:pPr>
    <w:r>
      <w:rPr>
        <w:rFonts w:ascii="Times New Roman" w:hAnsi="Times New Roman"/>
        <w:b w:val="0"/>
        <w:i w:val="0"/>
        <w:color w:val="334155"/>
        <w:sz w:val="16"/>
      </w:rPr>
      <w:t xml:space="preserve">M. Saad Hussain (SU92-BSCSM-F25-260) • M. Khubaib (SU92-BSCSM-F25-300) • Huzaifa (SU92-BSCSM-F25-408)          Page </w:t>
    </w:r>
    <w:r>
      <w:rPr>
        <w:rFonts w:ascii="Times New Roman" w:hAnsi="Times New Roman"/>
        <w:b/>
        <w:i w:val="0"/>
        <w:color w:val="1B365D"/>
        <w:sz w:val="17"/>
      </w:rPr>
      <w:fldChar w:fldCharType="begin"/>
      <w:instrText xml:space="preserve"> PAGE </w:instrText>
      <w:fldChar w:fldCharType="separate"/>
      <w:fldChar w:fldCharType="end"/>
    </w:r>
    <w:r>
      <w:rPr>
        <w:rFonts w:ascii="Times New Roman" w:hAnsi="Times New Roman"/>
        <w:b/>
        <w:i w:val="0"/>
        <w:color w:val="1B365D"/>
        <w:sz w:val="17"/>
      </w:rPr>
      <w:t xml:space="preserve"> of </w:t>
    </w:r>
    <w:r>
      <w:rPr>
        <w:rFonts w:ascii="Times New Roman" w:hAnsi="Times New Roman"/>
        <w:b/>
        <w:i w:val="0"/>
        <w:color w:val="1B365D"/>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pBdr>
        <w:bottom w:val="single" w:sz="6" w:space="2" w:color="1F7A7A"/>
      </w:pBdr>
    </w:pPr>
    <w:r>
      <w:rPr>
        <w:rFonts w:ascii="Times New Roman" w:hAnsi="Times New Roman"/>
        <w:b/>
        <w:i w:val="0"/>
        <w:color w:val="1B365D"/>
        <w:sz w:val="18"/>
      </w:rPr>
      <w:t>RahiScan: Automated Qingqi Rickshaw Fare &amp; Pace Telemetry, A Data Science Proposal</w:t>
    </w:r>
    <w:r>
      <w:rPr>
        <w:rFonts w:ascii="Times New Roman" w:hAnsi="Times New Roman"/>
        <w:b w:val="0"/>
        <w:i w:val="0"/>
        <w:color w:val="334155"/>
        <w:sz w:val="17"/>
      </w:rPr>
      <w:t xml:space="preserve">   |   Introduction to Data Science (Due 21 Oct 2026)</w:t>
      <w:br/>
    </w:r>
    <w:r>
      <w:rPr>
        <w:rFonts w:ascii="Times New Roman" w:hAnsi="Times New Roman"/>
        <w:b w:val="0"/>
        <w:i w:val="0"/>
        <w:color w:val="334155"/>
        <w:sz w:val="16"/>
      </w:rPr>
      <w:t>M. Saad Hussain (SU92-BSCSM-F25-260) • M. Khubaib (SU92-BSCSM-F25-300) • Huzaifa (SU92-BSCSM-F25-408)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