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b/>
          <w:color w:val="9B1C1C"/>
          <w:sz w:val="36"/>
        </w:rPr>
        <w:t>NETWORK SECURITY &amp; ACCESS CONTROL REFERENCE MATRIX</w:t>
      </w:r>
    </w:p>
    <w:p>
      <w:pPr>
        <w:spacing w:after="400"/>
        <w:jc w:val="left"/>
      </w:pPr>
      <w:r>
        <w:rPr>
          <w:i/>
          <w:color w:val="C81E1E"/>
          <w:sz w:val="22"/>
        </w:rPr>
        <w:t>Comprehensive Technical Summary of Firewalls, Port Forwarding, and VPN Solutions</w:t>
      </w:r>
    </w:p>
    <w:tbl>
      <w:tblPr>
        <w:tblW w:type="auto" w:w="0"/>
        <w:jc w:val="left"/>
        <w:tblLayout w:type="fixed"/>
        <w:tblLook w:firstColumn="1" w:firstRow="1" w:lastColumn="0" w:lastRow="0" w:noHBand="0" w:noVBand="1" w:val="04A0"/>
      </w:tblPr>
      <w:tblGrid>
        <w:gridCol w:w="8928"/>
      </w:tblGrid>
      <w:tr>
        <w:tc>
          <w:tcPr>
            <w:tcW w:type="dxa" w:w="9029"/>
            <w:shd w:fill="FFF5F5"/>
            <w:tcBorders>
              <w:top w:val="none"/>
              <w:left w:val="single" w:sz="24" w:space="0" w:color="9B1C1C"/>
              <w:bottom w:val="none"/>
              <w:right w:val="none"/>
            </w:tcBorders>
            <w:tcMar>
              <w:top w:w="140" w:type="dxa"/>
              <w:bottom w:w="140" w:type="dxa"/>
              <w:left w:w="200" w:type="dxa"/>
              <w:right w:w="200" w:type="dxa"/>
            </w:tcMar>
          </w:tcPr>
          <w:p>
            <w:pPr>
              <w:spacing w:before="80" w:after="80"/>
              <w:jc w:val="left"/>
            </w:pPr>
            <w:r>
              <w:rPr>
                <w:rFonts w:ascii="Arial" w:hAnsi="Arial"/>
                <w:i/>
                <w:color w:val="2D3748"/>
                <w:sz w:val="21"/>
              </w:rPr>
              <w:t>ARCHITECTURAL ANALOGY: Think of your private internal network as a high-security corporate facility. The Firewall acts as the security guard checking entry badges at the gate; Port Forwarding acts as the receptionist routing verified guests directly to specific rooms; and the VPN acts as an armored underground passage connecting external offices safely.</w:t>
            </w:r>
          </w:p>
        </w:tc>
      </w:tr>
    </w:tbl>
    <w:p>
      <w:pPr>
        <w:spacing w:before="320" w:after="80"/>
      </w:pPr>
      <w:r>
        <w:rPr>
          <w:b/>
          <w:color w:val="9B1C1C"/>
          <w:sz w:val="26"/>
        </w:rPr>
        <w:t>1. Functional Infrastructure Definitions</w:t>
      </w:r>
    </w:p>
    <w:p>
      <w:pPr>
        <w:spacing w:after="80"/>
        <w:ind w:left="288"/>
      </w:pPr>
      <w:r>
        <w:rPr>
          <w:b/>
        </w:rPr>
        <w:t xml:space="preserve">• Firewalls: </w:t>
      </w:r>
      <w:r>
        <w:t>A proactive boundary defense structure designed to scrutinize and regulate incoming and outgoing transmission traffic based on pre-configured rule sheets. Its fundamental objective centers around system filtration, protection, and proactive risk blockage.</w:t>
      </w:r>
    </w:p>
    <w:p>
      <w:pPr>
        <w:spacing w:after="80"/>
        <w:ind w:left="288"/>
      </w:pPr>
      <w:r>
        <w:rPr>
          <w:b/>
        </w:rPr>
        <w:t xml:space="preserve">• Port Forwarding: </w:t>
      </w:r>
      <w:r>
        <w:t>An address translation routing configuration deployed at the edge gateway/router. It explicitly instructs the router to intercept traffic targeted at a public-facing port and instantly relay it down to a dedicated internal host behind the network address translation (NAT) layer.</w:t>
      </w:r>
    </w:p>
    <w:p>
      <w:pPr>
        <w:spacing w:after="80"/>
        <w:ind w:left="288"/>
      </w:pPr>
      <w:r>
        <w:rPr>
          <w:b/>
        </w:rPr>
        <w:t xml:space="preserve">• Virtual Private Networks (VPN): </w:t>
      </w:r>
      <w:r>
        <w:t>An architecture that establishes a heavily encrypted, private data channel across public telecommunication lines. It enables isolated geographically separate nodes to share resources safely while completely masking user identity and mitigating active wiretapping or protocol sniffing hazards.</w:t>
      </w:r>
    </w:p>
    <w:p>
      <w:pPr>
        <w:spacing w:before="320" w:after="120"/>
      </w:pPr>
      <w:r>
        <w:rPr>
          <w:b/>
          <w:color w:val="9B1C1C"/>
          <w:sz w:val="26"/>
        </w:rPr>
        <w:t>2. Strategic Engineering Comparison Matrix</w:t>
      </w:r>
    </w:p>
    <w:tbl>
      <w:tblPr>
        <w:tblW w:type="auto" w:w="0"/>
        <w:jc w:val="left"/>
        <w:tblLayout w:type="fixed"/>
        <w:tblLook w:firstColumn="1" w:firstRow="1" w:lastColumn="0" w:lastRow="0" w:noHBand="0" w:noVBand="1" w:val="04A0"/>
      </w:tblPr>
      <w:tblGrid>
        <w:gridCol w:w="3010"/>
        <w:gridCol w:w="3010"/>
        <w:gridCol w:w="3010"/>
      </w:tblGrid>
      <w:tr>
        <w:tc>
          <w:tcPr>
            <w:tcW w:type="dxa" w:w="2160"/>
            <w:shd w:fill="9B1C1C"/>
          </w:tcPr>
          <w:p>
            <w:pPr>
              <w:jc w:val="left"/>
            </w:pPr>
            <w:r>
              <w:rPr>
                <w:b/>
                <w:color w:val="FFFFFF"/>
              </w:rPr>
              <w:t>Technology</w:t>
            </w:r>
          </w:p>
        </w:tc>
        <w:tc>
          <w:tcPr>
            <w:tcW w:type="dxa" w:w="3168"/>
            <w:shd w:fill="9B1C1C"/>
          </w:tcPr>
          <w:p>
            <w:pPr>
              <w:jc w:val="left"/>
            </w:pPr>
            <w:r>
              <w:rPr>
                <w:b/>
                <w:color w:val="FFFFFF"/>
              </w:rPr>
              <w:t>Primary Objective</w:t>
            </w:r>
          </w:p>
        </w:tc>
        <w:tc>
          <w:tcPr>
            <w:tcW w:type="dxa" w:w="3600"/>
            <w:shd w:fill="9B1C1C"/>
          </w:tcPr>
          <w:p>
            <w:pPr>
              <w:jc w:val="left"/>
            </w:pPr>
            <w:r>
              <w:rPr>
                <w:b/>
                <w:color w:val="FFFFFF"/>
              </w:rPr>
              <w:t>Practical Engineering Deployment Case</w:t>
            </w:r>
          </w:p>
        </w:tc>
      </w:tr>
      <w:tr>
        <w:tc>
          <w:tcPr>
            <w:tcW w:type="dxa" w:w="2160"/>
            <w:tcMar>
              <w:top w:w="80" w:type="dxa"/>
              <w:bottom w:w="80" w:type="dxa"/>
              <w:left w:w="100" w:type="dxa"/>
              <w:right w:w="100" w:type="dxa"/>
            </w:tcMar>
            <w:tcBorders>
              <w:top w:val="single" w:sz="4" w:space="0" w:color="E2E8F0"/>
              <w:left w:val="none"/>
              <w:bottom w:val="single" w:sz="4" w:space="0" w:color="E2E8F0"/>
              <w:right w:val="none"/>
            </w:tcBorders>
          </w:tcPr>
          <w:p>
            <w:pPr>
              <w:spacing w:before="80" w:after="80"/>
            </w:pPr>
            <w:r>
              <w:t>Firewall</w:t>
            </w:r>
          </w:p>
        </w:tc>
        <w:tc>
          <w:tcPr>
            <w:tcW w:type="dxa" w:w="3168"/>
            <w:tcMar>
              <w:top w:w="80" w:type="dxa"/>
              <w:bottom w:w="80" w:type="dxa"/>
              <w:left w:w="100" w:type="dxa"/>
              <w:right w:w="100" w:type="dxa"/>
            </w:tcMar>
            <w:tcBorders>
              <w:top w:val="single" w:sz="4" w:space="0" w:color="E2E8F0"/>
              <w:left w:val="none"/>
              <w:bottom w:val="single" w:sz="4" w:space="0" w:color="E2E8F0"/>
              <w:right w:val="none"/>
            </w:tcBorders>
          </w:tcPr>
          <w:p>
            <w:pPr>
              <w:spacing w:before="80" w:after="80"/>
            </w:pPr>
            <w:r>
              <w:t>Traffic Protection, Inspection, and Policy Enforcement</w:t>
            </w:r>
          </w:p>
        </w:tc>
        <w:tc>
          <w:tcPr>
            <w:tcW w:type="dxa" w:w="3600"/>
            <w:tcMar>
              <w:top w:w="80" w:type="dxa"/>
              <w:bottom w:w="80" w:type="dxa"/>
              <w:left w:w="100" w:type="dxa"/>
              <w:right w:w="100" w:type="dxa"/>
            </w:tcMar>
            <w:tcBorders>
              <w:top w:val="single" w:sz="4" w:space="0" w:color="E2E8F0"/>
              <w:left w:val="none"/>
              <w:bottom w:val="single" w:sz="4" w:space="0" w:color="E2E8F0"/>
              <w:right w:val="none"/>
            </w:tcBorders>
          </w:tcPr>
          <w:p>
            <w:pPr>
              <w:spacing w:before="80" w:after="80"/>
            </w:pPr>
            <w:r>
              <w:t>Blocking inbound port 22 (SSH) queries globally to completely neutralize credential stuffing and brute-force campaigns.</w:t>
            </w:r>
          </w:p>
        </w:tc>
      </w:tr>
      <w:tr>
        <w:tc>
          <w:tcPr>
            <w:tcW w:type="dxa" w:w="2160"/>
            <w:tcMar>
              <w:top w:w="80" w:type="dxa"/>
              <w:bottom w:w="80" w:type="dxa"/>
              <w:left w:w="100" w:type="dxa"/>
              <w:right w:w="100" w:type="dxa"/>
            </w:tcMar>
            <w:tcBorders>
              <w:top w:val="single" w:sz="4" w:space="0" w:color="E2E8F0"/>
              <w:left w:val="none"/>
              <w:bottom w:val="single" w:sz="4" w:space="0" w:color="E2E8F0"/>
              <w:right w:val="none"/>
            </w:tcBorders>
            <w:shd w:fill="FAFAFA"/>
          </w:tcPr>
          <w:p>
            <w:pPr>
              <w:spacing w:before="80" w:after="80"/>
            </w:pPr>
            <w:r>
              <w:t>Port Forwarding</w:t>
            </w:r>
          </w:p>
        </w:tc>
        <w:tc>
          <w:tcPr>
            <w:tcW w:type="dxa" w:w="3168"/>
            <w:tcMar>
              <w:top w:w="80" w:type="dxa"/>
              <w:bottom w:w="80" w:type="dxa"/>
              <w:left w:w="100" w:type="dxa"/>
              <w:right w:w="100" w:type="dxa"/>
            </w:tcMar>
            <w:tcBorders>
              <w:top w:val="single" w:sz="4" w:space="0" w:color="E2E8F0"/>
              <w:left w:val="none"/>
              <w:bottom w:val="single" w:sz="4" w:space="0" w:color="E2E8F0"/>
              <w:right w:val="none"/>
            </w:tcBorders>
            <w:shd w:fill="FAFAFA"/>
          </w:tcPr>
          <w:p>
            <w:pPr>
              <w:spacing w:before="80" w:after="80"/>
            </w:pPr>
            <w:r>
              <w:t>Boundary Path Routing and Host Accessibility</w:t>
            </w:r>
          </w:p>
        </w:tc>
        <w:tc>
          <w:tcPr>
            <w:tcW w:type="dxa" w:w="3600"/>
            <w:tcMar>
              <w:top w:w="80" w:type="dxa"/>
              <w:bottom w:w="80" w:type="dxa"/>
              <w:left w:w="100" w:type="dxa"/>
              <w:right w:w="100" w:type="dxa"/>
            </w:tcMar>
            <w:tcBorders>
              <w:top w:val="single" w:sz="4" w:space="0" w:color="E2E8F0"/>
              <w:left w:val="none"/>
              <w:bottom w:val="single" w:sz="4" w:space="0" w:color="E2E8F0"/>
              <w:right w:val="none"/>
            </w:tcBorders>
            <w:shd w:fill="FAFAFA"/>
          </w:tcPr>
          <w:p>
            <w:pPr>
              <w:spacing w:before="80" w:after="80"/>
            </w:pPr>
            <w:r>
              <w:t>Configuring an edge router to forward inbound external queries on port 80 to an internal development web server.</w:t>
            </w:r>
          </w:p>
        </w:tc>
      </w:tr>
      <w:tr>
        <w:tc>
          <w:tcPr>
            <w:tcW w:type="dxa" w:w="2160"/>
            <w:tcMar>
              <w:top w:w="80" w:type="dxa"/>
              <w:bottom w:w="80" w:type="dxa"/>
              <w:left w:w="100" w:type="dxa"/>
              <w:right w:w="100" w:type="dxa"/>
            </w:tcMar>
            <w:tcBorders>
              <w:top w:val="single" w:sz="4" w:space="0" w:color="E2E8F0"/>
              <w:left w:val="none"/>
              <w:bottom w:val="single" w:sz="4" w:space="0" w:color="E2E8F0"/>
              <w:right w:val="none"/>
            </w:tcBorders>
          </w:tcPr>
          <w:p>
            <w:pPr>
              <w:spacing w:before="80" w:after="80"/>
            </w:pPr>
            <w:r>
              <w:t>VPN Solutions</w:t>
            </w:r>
          </w:p>
        </w:tc>
        <w:tc>
          <w:tcPr>
            <w:tcW w:type="dxa" w:w="3168"/>
            <w:tcMar>
              <w:top w:w="80" w:type="dxa"/>
              <w:bottom w:w="80" w:type="dxa"/>
              <w:left w:w="100" w:type="dxa"/>
              <w:right w:w="100" w:type="dxa"/>
            </w:tcMar>
            <w:tcBorders>
              <w:top w:val="single" w:sz="4" w:space="0" w:color="E2E8F0"/>
              <w:left w:val="none"/>
              <w:bottom w:val="single" w:sz="4" w:space="0" w:color="E2E8F0"/>
              <w:right w:val="none"/>
            </w:tcBorders>
          </w:tcPr>
          <w:p>
            <w:pPr>
              <w:spacing w:before="80" w:after="80"/>
            </w:pPr>
            <w:r>
              <w:t>Data Cryptography, Confidentiality, and Anonymity</w:t>
            </w:r>
          </w:p>
        </w:tc>
        <w:tc>
          <w:tcPr>
            <w:tcW w:type="dxa" w:w="3600"/>
            <w:tcMar>
              <w:top w:w="80" w:type="dxa"/>
              <w:bottom w:w="80" w:type="dxa"/>
              <w:left w:w="100" w:type="dxa"/>
              <w:right w:w="100" w:type="dxa"/>
            </w:tcMar>
            <w:tcBorders>
              <w:top w:val="single" w:sz="4" w:space="0" w:color="E2E8F0"/>
              <w:left w:val="none"/>
              <w:bottom w:val="single" w:sz="4" w:space="0" w:color="E2E8F0"/>
              <w:right w:val="none"/>
            </w:tcBorders>
          </w:tcPr>
          <w:p>
            <w:pPr>
              <w:spacing w:before="80" w:after="80"/>
            </w:pPr>
            <w:r>
              <w:t>Spawning an encrypted OpenVPN data tunnel via a specialized configuration file to map local assets to a remote training lab.</w:t>
            </w:r>
          </w:p>
        </w:tc>
      </w:tr>
    </w:tbl>
    <w:p>
      <w:pPr>
        <w:spacing w:before="360" w:after="80"/>
      </w:pPr>
      <w:r>
        <w:rPr>
          <w:b/>
          <w:color w:val="9B1C1C"/>
          <w:sz w:val="26"/>
        </w:rPr>
        <w:t>3. Analysis of Cryptographic Tunneling Protocols</w:t>
      </w:r>
    </w:p>
    <w:p>
      <w:pPr>
        <w:spacing w:after="80"/>
        <w:ind w:left="288"/>
      </w:pPr>
      <w:r>
        <w:rPr>
          <w:b/>
        </w:rPr>
        <w:t xml:space="preserve">• Point-to-Point Protocol (PPP): </w:t>
      </w:r>
      <w:r>
        <w:t>Handles identity validation, authentication routines, and local encoding layers. It implements cryptographic verification via an asymmetric configuration requiring matching public certificates and private keys. Critically, PPP payloads are non-routable, preventing them from natively bypassing or exiting local network boundaries without a wrapper protocol.</w:t>
      </w:r>
    </w:p>
    <w:p>
      <w:pPr>
        <w:spacing w:after="80"/>
        <w:ind w:left="288"/>
      </w:pPr>
      <w:r>
        <w:rPr>
          <w:b/>
        </w:rPr>
        <w:t xml:space="preserve">• Point-to-Point Tunneling Protocol (PPTP): </w:t>
      </w:r>
      <w:r>
        <w:t>Acts as an envelope transport infrastructure designed explicitly to package non-routable PPP payloads, allowing data streams to travel and exit local spaces over the public internet. While universally compatible and straightforward to deploy, PPTP relies on fragile encryption standards vulnerable to offline sniffing and brute-force extraction.</w:t>
      </w:r>
    </w:p>
    <w:p>
      <w:pPr>
        <w:spacing w:after="80"/>
        <w:ind w:left="288"/>
      </w:pPr>
      <w:r>
        <w:rPr>
          <w:b/>
        </w:rPr>
        <w:t xml:space="preserve">• Internet Protocol Security (IPSec): </w:t>
      </w:r>
      <w:r>
        <w:t>Injects enterprise-grade cryptographic encapsulation directly into the baseline Layer 3 Internet Protocol (IP) framework. It establishes robust, resilient infrastructure security suited for multi-site commercial network topologies, though it introduces complex administrative setup overhead compared to primitive legacy setups.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