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top w:val="double" w:sz="12" w:space="0" w:color="C5A059"/>
              <w:bottom w:val="double" w:sz="12" w:space="0" w:color="C5A059"/>
              <w:left w:val="double" w:sz="12" w:space="0" w:color="C5A059"/>
              <w:right w:val="double" w:sz="12" w:space="0" w:color="C5A059"/>
            </w:tcBorders>
          </w:tcPr>
          <w:p>
            <w:pPr>
              <w:spacing w:before="280" w:after="40"/>
              <w:jc w:val="center"/>
            </w:pPr>
            <w:r>
              <w:rPr>
                <w:rFonts w:ascii="Georgia" w:hAnsi="Georgia"/>
                <w:b/>
                <w:color w:val="C5973E"/>
                <w:sz w:val="36"/>
              </w:rPr>
              <w:t>🛡️ PASSIVE RECONNAISSANCE</w:t>
            </w:r>
          </w:p>
          <w:p>
            <w:pPr>
              <w:spacing w:after="280"/>
              <w:jc w:val="center"/>
            </w:pPr>
            <w:r>
              <w:rPr>
                <w:rFonts w:ascii="Georgia" w:hAnsi="Georgia"/>
                <w:i/>
                <w:color w:val="FFFFFF"/>
                <w:sz w:val="22"/>
              </w:rPr>
              <w:t>The Passive Information Gathering Blueprint</w:t>
            </w:r>
          </w:p>
        </w:tc>
      </w:tr>
    </w:tbl>
    <w:p>
      <w:pPr>
        <w:spacing w:after="240" w:before="0" w:line="276" w:lineRule="auto"/>
        <w:jc w:val="left"/>
      </w:pPr>
    </w:p>
    <w:p>
      <w:pPr>
        <w:spacing w:after="120" w:before="28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𓂀 1. Executive Summary: The Passive Philosophy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Passive Reconnaissance is the practice of gathering actionable intelligence about a target’s network, domain infrastructure, employees, and physical footprint without ever sending a single packet directly to the target’s servers.</w:t>
      </w:r>
    </w:p>
    <w:p>
      <w:pPr>
        <w:spacing w:after="24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Instead of probing the target directly, passive tools query trusted third-party repositories, public caches, registration databases, and global internet censuses. Because of this, passive recon is virtually impossible for a defender to detect, making it the safest starting phase of any penetration test or threat-hunting engagement.</w:t>
      </w:r>
    </w:p>
    <w:p>
      <w:pPr>
        <w:spacing w:after="120" w:before="32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𓁹 2. Domain Registration: WHOIS vs. RDAP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These protocols query domain registrars (like Namecheap or GoDaddy) to extract administrative and technical records of who owns and hosts a domain.</w:t>
      </w:r>
    </w:p>
    <w:p>
      <w:pPr>
        <w:spacing w:after="80" w:before="20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A. Legacy WHOIS (RFC 3912)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WHOIS is a simple query/response protocol operating over TCP Port 43. Key Limitation: Historically provided full names, emails, and phone numbers. Today, due to privacy regulations (like GDPR and CCPA), almost all personal information is redacted or replaced with a proxy string.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Legacy WHOIS CLI syntax</w:t>
              <w:br/>
              <w:t>whois tryhackme.com</w:t>
            </w:r>
          </w:p>
        </w:tc>
      </w:tr>
    </w:tbl>
    <w:p>
      <w:pPr>
        <w:spacing w:after="80" w:before="24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B. RDAP (Registration Data Access Protocol) — The Modern Standard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Officially sunsetting the traditional WHOIS protocol for generic top-level domains (gTLDs) as of January 28, 2025, RDAP is its modern successor. It operates securely over HTTPS (Port 443), returns structured and machine-readable JSON, supports internationalization, and allows differentiated access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# Querying RDAP via curl and formatting with jq</w:t>
              <w:br/>
              <w:t>curl -s https://rdap.verisign.com/com/v1/domain/tryhackme.com | jq 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DFBF7"/>
            <w:tcBorders>
              <w:left w:val="single" w:sz="24" w:space="0" w:color="A3752F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A3752B"/>
              </w:rPr>
              <w:t>𓋹 What Pentesters Look For in Registration Data:</w:t>
              <w:br/>
            </w:r>
            <w:r>
              <w:t>• Redirection Chains: Tracing queries from registry to authoritative registrar.</w:t>
              <w:br/>
              <w:t>• Key Dates: Creation Date (estimated age), Last Updated, and Expiration (timing credentials phishing scams around renewals).</w:t>
              <w:br/>
              <w:t>• EPP Status Codes: Looking for clientTransferProhibited indicating domains are locked.</w:t>
              <w:br/>
              <w:t>• Abuse Contact details: Essential for infrastructure footprint reviews.</w:t>
              <w:br/>
              <w:t>• Historical WHOIS Snapshots (via whoxy.com): To reveal past ownership shifts over time.</w:t>
            </w:r>
          </w:p>
        </w:tc>
      </w:tr>
    </w:tbl>
    <w:p>
      <w:pPr>
        <w:spacing w:after="120" w:before="36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𓋹 3. DNS Enumeration: Querying Public Resolvers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DNS queries translate human-friendly domains to IP addresses. Doing this via public open resolvers (such as 1.1.1.1 or 8.8.8.8) keeps the process entirely passive.</w:t>
      </w:r>
    </w:p>
    <w:p>
      <w:pPr>
        <w:spacing w:after="80" w:before="20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A. nslookup (Name Server Lookup)</w:t>
      </w:r>
    </w:p>
    <w:p>
      <w:pPr>
        <w:spacing w:after="8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An older, legacy utility still commonly found on Windows systems and older documentation environments.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nslookup -type=MX tryhackme.com 1.1.1.1</w:t>
            </w:r>
          </w:p>
        </w:tc>
      </w:tr>
    </w:tbl>
    <w:p>
      <w:pPr>
        <w:spacing w:after="80" w:before="24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B. dig (Domain Information Groper)</w:t>
      </w:r>
    </w:p>
    <w:p>
      <w:pPr>
        <w:spacing w:after="8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The modern, preferred tool for security professionals. It provides cleaner output, displays TTL values by default, and is highly scriptable.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81818"/>
            <w:tcBorders>
              <w:left w:val="single" w:sz="16" w:space="0" w:color="C5A05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C5973E"/>
                <w:sz w:val="19"/>
              </w:rPr>
              <w:t>dig @1.1.1.1 tryhackme.com MX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🏷️ Critical DNS Record Types to Check: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4AF37"/>
          <w:bottom w:val="single" w:sz="10" w:space="0" w:color="D4AF37"/>
          <w:insideH w:val="single" w:sz="4" w:space="0" w:color="D4AF37"/>
          <w:left w:val="none"/>
          <w:right w:val="non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1728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20"/>
              </w:rPr>
              <w:t>Record Type</w:t>
            </w:r>
          </w:p>
        </w:tc>
        <w:tc>
          <w:tcPr>
            <w:tcW w:type="dxa" w:w="2880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20"/>
              </w:rPr>
              <w:t>What It Reveals</w:t>
            </w:r>
          </w:p>
        </w:tc>
        <w:tc>
          <w:tcPr>
            <w:tcW w:type="dxa" w:w="4421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20"/>
              </w:rPr>
              <w:t>Pentester / Threat Hunter Value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A</w:t>
            </w:r>
          </w:p>
        </w:tc>
        <w:tc>
          <w:tcPr>
            <w:tcW w:type="dxa" w:w="2880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IPv4 Addresses</w:t>
            </w:r>
          </w:p>
        </w:tc>
        <w:tc>
          <w:tcPr>
            <w:tcW w:type="dxa" w:w="4421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Points to hosting providers (e.g., Cloudflare Anycast IPs).</w:t>
            </w:r>
          </w:p>
        </w:tc>
      </w:tr>
      <w:tr>
        <w:tc>
          <w:tcPr>
            <w:tcW w:type="dxa" w:w="1728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AAAA</w:t>
            </w:r>
          </w:p>
        </w:tc>
        <w:tc>
          <w:tcPr>
            <w:tcW w:type="dxa" w:w="2880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IPv6 Addresses</w:t>
            </w:r>
          </w:p>
        </w:tc>
        <w:tc>
          <w:tcPr>
            <w:tcW w:type="dxa" w:w="4421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Mapping modern IP ranges.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CNAME</w:t>
            </w:r>
          </w:p>
        </w:tc>
        <w:tc>
          <w:tcPr>
            <w:tcW w:type="dxa" w:w="2880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Canonical Name (Alias)</w:t>
            </w:r>
          </w:p>
        </w:tc>
        <w:tc>
          <w:tcPr>
            <w:tcW w:type="dxa" w:w="4421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Identifies third-party hosting, CDNs, or potential Subdomain Takeover targets.</w:t>
            </w:r>
          </w:p>
        </w:tc>
      </w:tr>
      <w:tr>
        <w:tc>
          <w:tcPr>
            <w:tcW w:type="dxa" w:w="1728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MX</w:t>
            </w:r>
          </w:p>
        </w:tc>
        <w:tc>
          <w:tcPr>
            <w:tcW w:type="dxa" w:w="2880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Mail Servers &amp; Priorities</w:t>
            </w:r>
          </w:p>
        </w:tc>
        <w:tc>
          <w:tcPr>
            <w:tcW w:type="dxa" w:w="4421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Tells you who handles email (e.g., Google Workspace, Outlook). Lower numbers = higher priority.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TXT</w:t>
            </w:r>
          </w:p>
        </w:tc>
        <w:tc>
          <w:tcPr>
            <w:tcW w:type="dxa" w:w="2880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Arbitrary Text</w:t>
            </w:r>
          </w:p>
        </w:tc>
        <w:tc>
          <w:tcPr>
            <w:tcW w:type="dxa" w:w="4421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Contains crucial verification strings: SPF, DKIM, and DMARC settings to assess email spoofing vulnerability.</w:t>
            </w:r>
          </w:p>
        </w:tc>
      </w:tr>
      <w:tr>
        <w:tc>
          <w:tcPr>
            <w:tcW w:type="dxa" w:w="1728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9"/>
              </w:rPr>
              <w:t>SOA</w:t>
            </w:r>
          </w:p>
        </w:tc>
        <w:tc>
          <w:tcPr>
            <w:tcW w:type="dxa" w:w="2880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Start of Authority</w:t>
            </w:r>
          </w:p>
        </w:tc>
        <w:tc>
          <w:tcPr>
            <w:tcW w:type="dxa" w:w="4421"/>
            <w:shd w:fill="FDFBF7"/>
          </w:tcPr>
          <w:p>
            <w:pPr>
              <w:spacing w:before="100" w:after="100"/>
            </w:pPr>
            <w:r>
              <w:rPr>
                <w:sz w:val="19"/>
              </w:rPr>
              <w:t>Identifies the primary DNS zone master, administrator email, and serial numbers.</w:t>
            </w:r>
          </w:p>
        </w:tc>
      </w:tr>
    </w:tbl>
    <w:p>
      <w:pPr>
        <w:spacing w:after="120" w:before="36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𓂀 4. Subdomain Discovery (Mapping Hidden Assets)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Standard DNS queries only resolve domains you already know. Passive subdomain discovery uncovers unadvertised subdomains (like dev.company.com or admin.company.com) which often host forgotten, outdated, or vulnerable services.</w:t>
      </w:r>
    </w:p>
    <w:p>
      <w:pPr>
        <w:spacing w:after="80" w:before="20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A. DNSDumpster (DNS Aggregator)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A free, completely passive web tool that aggregates DNS data from search engine caches, zone transfers, and certificate registries. It automatically maps and graphs relationships visually.</w:t>
      </w:r>
    </w:p>
    <w:p>
      <w:pPr>
        <w:spacing w:after="80" w:before="200" w:line="276" w:lineRule="auto"/>
        <w:jc w:val="left"/>
      </w:pPr>
      <w:r>
        <w:rPr>
          <w:rFonts w:ascii="Georgia" w:hAnsi="Georgia"/>
          <w:b/>
          <w:i w:val="0"/>
          <w:color w:val="A3752B"/>
          <w:sz w:val="22"/>
        </w:rPr>
        <w:t>B. Certificate Transparency (CT) Logs (via crt.sh)</w:t>
      </w:r>
    </w:p>
    <w:p>
      <w:pPr>
        <w:spacing w:after="24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The most powerful passive subdomain discovery method available today. Every single SSL/TLS certificate issued by a CA must be logged publicly. Using wildcards (e.g., %.target.com) on crt.sh retrieves historical domains securely and instantly without querying the target's systems.</w:t>
      </w:r>
    </w:p>
    <w:p>
      <w:pPr>
        <w:spacing w:after="120" w:before="32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𓁹 5. Global Internet Census: Shodan &amp; Censys</w:t>
      </w:r>
    </w:p>
    <w:p>
      <w:pPr>
        <w:spacing w:after="160" w:before="0" w:line="276" w:lineRule="auto"/>
        <w:jc w:val="left"/>
      </w:pPr>
      <w:r>
        <w:rPr>
          <w:rFonts w:ascii="Georgia" w:hAnsi="Georgia"/>
          <w:b w:val="0"/>
          <w:i w:val="0"/>
          <w:color w:val="282828"/>
          <w:sz w:val="22"/>
        </w:rPr>
        <w:t>Shodan.io and Censys.io are search engines for internet-connected devices. Instead of querying website content, they continuously scan the public IPv4 space, grab port banners, and index them passively.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DFBF7"/>
            <w:tcBorders>
              <w:left w:val="single" w:sz="24" w:space="0" w:color="A3752F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A3752B"/>
              </w:rPr>
              <w:t>🔍 Crucial Shodan Search Filters:</w:t>
              <w:br/>
            </w:r>
            <w:r>
              <w:t>• hostname:tryhackme.com — Filters results to a specific host.</w:t>
              <w:br/>
              <w:t>• org:"Organization Name" — Searches by corporate network owner.</w:t>
              <w:br/>
              <w:t>• port:443 country:US — Combines port-specific checks with geographical locations.</w:t>
              <w:br/>
              <w:t>• http.component:"wordpress" — Pinpoints specific web technologies or CMS configurations.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Georgia" w:hAnsi="Georgia"/>
          <w:b/>
          <w:i w:val="0"/>
          <w:color w:val="A3752B"/>
          <w:sz w:val="26"/>
        </w:rPr>
        <w:t>⚖️ Passive Recon Tools Summary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4AF37"/>
          <w:bottom w:val="single" w:sz="10" w:space="0" w:color="D4AF37"/>
          <w:insideH w:val="single" w:sz="4" w:space="0" w:color="D4AF37"/>
          <w:left w:val="none"/>
          <w:right w:val="none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728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19"/>
              </w:rPr>
              <w:t>Tool / Platform</w:t>
            </w:r>
          </w:p>
        </w:tc>
        <w:tc>
          <w:tcPr>
            <w:tcW w:type="dxa" w:w="1872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19"/>
              </w:rPr>
              <w:t>Primary Input</w:t>
            </w:r>
          </w:p>
        </w:tc>
        <w:tc>
          <w:tcPr>
            <w:tcW w:type="dxa" w:w="3269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19"/>
              </w:rPr>
              <w:t>Information Extracted</w:t>
            </w:r>
          </w:p>
        </w:tc>
        <w:tc>
          <w:tcPr>
            <w:tcW w:type="dxa" w:w="2160"/>
            <w:shd w:fill="181818"/>
          </w:tcPr>
          <w:p>
            <w:pPr>
              <w:spacing w:before="120" w:after="120"/>
            </w:pPr>
            <w:r>
              <w:rPr>
                <w:b/>
                <w:color w:val="C5973E"/>
                <w:sz w:val="19"/>
              </w:rPr>
              <w:t>Protocol / Port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8"/>
              </w:rPr>
              <w:t>WHOIS / RDAP</w:t>
            </w:r>
          </w:p>
        </w:tc>
        <w:tc>
          <w:tcPr>
            <w:tcW w:type="dxa" w:w="1872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Domain Name</w:t>
            </w:r>
          </w:p>
        </w:tc>
        <w:tc>
          <w:tcPr>
            <w:tcW w:type="dxa" w:w="3269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Registrar, ownership dates, expiration, authoritative name servers</w:t>
            </w:r>
          </w:p>
        </w:tc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TCP 43 / HTTPS 443</w:t>
            </w:r>
          </w:p>
        </w:tc>
      </w:tr>
      <w:tr>
        <w:tc>
          <w:tcPr>
            <w:tcW w:type="dxa" w:w="1728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8"/>
              </w:rPr>
              <w:t>dig / nslookup</w:t>
            </w:r>
          </w:p>
        </w:tc>
        <w:tc>
          <w:tcPr>
            <w:tcW w:type="dxa" w:w="1872"/>
            <w:shd w:fill="FDFBF7"/>
          </w:tcPr>
          <w:p>
            <w:pPr>
              <w:spacing w:before="100" w:after="100"/>
            </w:pPr>
            <w:r>
              <w:rPr>
                <w:sz w:val="18"/>
              </w:rPr>
              <w:t>Domain Name</w:t>
            </w:r>
          </w:p>
        </w:tc>
        <w:tc>
          <w:tcPr>
            <w:tcW w:type="dxa" w:w="3269"/>
            <w:shd w:fill="FDFBF7"/>
          </w:tcPr>
          <w:p>
            <w:pPr>
              <w:spacing w:before="100" w:after="100"/>
            </w:pPr>
            <w:r>
              <w:rPr>
                <w:sz w:val="18"/>
              </w:rPr>
              <w:t>Host IP mappings (A/AAAA), mail servers (MX), spoofing policies (TXT)</w:t>
            </w:r>
          </w:p>
        </w:tc>
        <w:tc>
          <w:tcPr>
            <w:tcW w:type="dxa" w:w="2160"/>
            <w:shd w:fill="FDFBF7"/>
          </w:tcPr>
          <w:p>
            <w:pPr>
              <w:spacing w:before="100" w:after="100"/>
            </w:pPr>
            <w:r>
              <w:rPr>
                <w:sz w:val="18"/>
              </w:rPr>
              <w:t>UDP/TCP 53 (Public Resolvers)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8"/>
              </w:rPr>
              <w:t>DNSDumpster</w:t>
            </w:r>
          </w:p>
        </w:tc>
        <w:tc>
          <w:tcPr>
            <w:tcW w:type="dxa" w:w="1872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Domain Name</w:t>
            </w:r>
          </w:p>
        </w:tc>
        <w:tc>
          <w:tcPr>
            <w:tcW w:type="dxa" w:w="3269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Aggregated subdomains, hosting details, DNS records, and network maps</w:t>
            </w:r>
          </w:p>
        </w:tc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HTTPS Web API</w:t>
            </w:r>
          </w:p>
        </w:tc>
      </w:tr>
      <w:tr>
        <w:tc>
          <w:tcPr>
            <w:tcW w:type="dxa" w:w="1728"/>
            <w:shd w:fill="FDFBF7"/>
          </w:tcPr>
          <w:p>
            <w:pPr>
              <w:spacing w:before="100" w:after="100"/>
            </w:pPr>
            <w:r>
              <w:rPr>
                <w:b/>
                <w:color w:val="A3752B"/>
                <w:sz w:val="18"/>
              </w:rPr>
              <w:t>crt.sh (CT Logs)</w:t>
            </w:r>
          </w:p>
        </w:tc>
        <w:tc>
          <w:tcPr>
            <w:tcW w:type="dxa" w:w="1872"/>
            <w:shd w:fill="FDFBF7"/>
          </w:tcPr>
          <w:p>
            <w:pPr>
              <w:spacing w:before="100" w:after="100"/>
            </w:pPr>
            <w:r>
              <w:rPr>
                <w:sz w:val="18"/>
              </w:rPr>
              <w:t>%.domain.com</w:t>
            </w:r>
          </w:p>
        </w:tc>
        <w:tc>
          <w:tcPr>
            <w:tcW w:type="dxa" w:w="3269"/>
            <w:shd w:fill="FDFBF7"/>
          </w:tcPr>
          <w:p>
            <w:pPr>
              <w:spacing w:before="100" w:after="100"/>
            </w:pPr>
            <w:r>
              <w:rPr>
                <w:sz w:val="18"/>
              </w:rPr>
              <w:t>Comprehensive historical lists of all subdomains ever issued TLS certs</w:t>
            </w:r>
          </w:p>
        </w:tc>
        <w:tc>
          <w:tcPr>
            <w:tcW w:type="dxa" w:w="2160"/>
            <w:shd w:fill="FDFBF7"/>
          </w:tcPr>
          <w:p>
            <w:pPr>
              <w:spacing w:before="100" w:after="100"/>
            </w:pPr>
            <w:r>
              <w:rPr>
                <w:sz w:val="18"/>
              </w:rPr>
              <w:t>HTTPS Web Interface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100" w:after="100"/>
            </w:pPr>
            <w:r>
              <w:rPr>
                <w:b/>
                <w:color w:val="A3752B"/>
                <w:sz w:val="18"/>
              </w:rPr>
              <w:t>Shodan.io</w:t>
            </w:r>
          </w:p>
        </w:tc>
        <w:tc>
          <w:tcPr>
            <w:tcW w:type="dxa" w:w="1872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IP Address / Domain</w:t>
            </w:r>
          </w:p>
        </w:tc>
        <w:tc>
          <w:tcPr>
            <w:tcW w:type="dxa" w:w="3269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Exposed ports, application banners, hosting provider, CVE tags</w:t>
            </w:r>
          </w:p>
        </w:tc>
        <w:tc>
          <w:tcPr>
            <w:tcW w:type="dxa" w:w="2160"/>
            <w:shd w:fill="FFFFFF"/>
          </w:tcPr>
          <w:p>
            <w:pPr>
              <w:spacing w:before="100" w:after="100"/>
            </w:pPr>
            <w:r>
              <w:rPr>
                <w:sz w:val="18"/>
              </w:rPr>
              <w:t>HTTPS Database Query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A3752B"/>
        <w:sz w:val="17"/>
      </w:rPr>
      <w:t>Page 1 of 1 — Osiris Information Security Frame 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A3752B"/>
        <w:sz w:val="17"/>
      </w:rPr>
      <w:t>𓂀 Passive Reconnaissance Toolkit | Pharaoh Gold Edition 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