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02060"/>
          <w:sz w:val="52"/>
        </w:rPr>
        <w:t>📘 Windows Fundamentals</w:t>
      </w:r>
    </w:p>
    <w:p>
      <w:pPr>
        <w:spacing w:before="0" w:after="480"/>
      </w:pPr>
      <w:r>
        <w:rPr>
          <w:i/>
          <w:color w:val="1F4E79"/>
          <w:sz w:val="32"/>
        </w:rPr>
        <w:t>Comprehensive Technical Reference</w:t>
      </w:r>
    </w:p>
    <w:p>
      <w:pPr>
        <w:keepNext/>
        <w:spacing w:before="240" w:after="240"/>
        <w:pBdr>
          <w:bottom w:val="single" w:sz="12" w:space="4" w:color="002060"/>
        </w:pBdr>
      </w:pPr>
      <w:r>
        <w:rPr>
          <w:rFonts w:ascii="Calibri" w:hAnsi="Calibri"/>
          <w:b/>
          <w:color w:val="002060"/>
          <w:sz w:val="40"/>
        </w:rPr>
        <w:t>1️⃣ System Architecture &amp; Core Files</w:t>
      </w:r>
    </w:p>
    <w:p>
      <w:pPr>
        <w:spacing w:after="120" w:line="276" w:lineRule="auto"/>
      </w:pPr>
      <w:r>
        <w:rPr>
          <w:i w:val="0"/>
          <w:color w:val="333333"/>
        </w:rPr>
        <w:t>Windows organizes its operating system using standardized paths and directories designed to protect kernel integrity and isolate user data.</w:t>
      </w:r>
    </w:p>
    <w:p>
      <w:pPr>
        <w:keepNext/>
        <w:spacing w:before="200" w:after="120"/>
      </w:pPr>
      <w:r>
        <w:rPr>
          <w:rFonts w:ascii="Calibri" w:hAnsi="Calibri"/>
          <w:b/>
          <w:color w:val="1F4E79"/>
          <w:sz w:val="28"/>
        </w:rPr>
        <w:t>The Windows Directory and %windir%</w:t>
      </w:r>
    </w:p>
    <w:p>
      <w:pPr>
        <w:spacing w:after="120" w:line="276" w:lineRule="auto"/>
      </w:pPr>
      <w:r>
        <w:rPr>
          <w:i w:val="0"/>
          <w:color w:val="333333"/>
        </w:rPr>
        <w:t>By default, the operating system is installed in C:\Windows. However, it can technically reside on any other drive (e.g., D:\ or E:\) or within a completely different folder name.</w:t>
      </w:r>
    </w:p>
    <w:p>
      <w:pPr>
        <w:spacing w:after="120" w:line="276" w:lineRule="auto"/>
      </w:pPr>
      <w:r>
        <w:rPr>
          <w:i w:val="0"/>
          <w:color w:val="333333"/>
        </w:rPr>
        <w:t>To handle this dynamic path, Windows uses a System Environment Variable called %windir%. This variable acts as an alias or macro that always points to the active Windows directory, allowing applications to locate system files without needing to know the drive letter in advance.</w:t>
      </w:r>
    </w:p>
    <w:p>
      <w:pPr>
        <w:keepNext/>
        <w:spacing w:before="200" w:after="120"/>
      </w:pPr>
      <w:r>
        <w:rPr>
          <w:rFonts w:ascii="Calibri" w:hAnsi="Calibri"/>
          <w:b/>
          <w:color w:val="1F4E79"/>
          <w:sz w:val="28"/>
        </w:rPr>
        <w:t>The System32 Folder (The Critical Directory)</w:t>
      </w:r>
    </w:p>
    <w:p>
      <w:pPr>
        <w:spacing w:after="120" w:line="276" w:lineRule="auto"/>
      </w:pPr>
      <w:r>
        <w:rPr>
          <w:i w:val="0"/>
          <w:color w:val="333333"/>
        </w:rPr>
        <w:t>Located inside the main Windows directory, System32 hosts vital executable files (.exe), dynamic link libraries (.dll), and administrative tools essential to the OS core.</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180" w:type="dxa"/>
              <w:right w:w="180" w:type="dxa"/>
            </w:tcMar>
            <w:tcBorders>
              <w:left w:sz="24" w:val="single" w:color="ED7D31" w:space="0"/>
              <w:top w:val="none"/>
              <w:bottom w:val="none"/>
              <w:right w:val="none"/>
            </w:tcBorders>
          </w:tcPr>
          <w:p>
            <w:pPr>
              <w:spacing w:after="80"/>
            </w:pPr>
            <w:r>
              <w:rPr>
                <w:b/>
                <w:color w:val="C00000"/>
              </w:rPr>
              <w:t xml:space="preserve">⚠️ Critical Warning: </w:t>
            </w:r>
            <w:r>
              <w:rPr>
                <w:color w:val="333333"/>
                <w:sz w:val="21"/>
              </w:rPr>
              <w:t>Deleting or modifying files within the System32 folder can destabilize the operating system and render it completely inoperational.</w:t>
            </w:r>
          </w:p>
        </w:tc>
      </w:tr>
    </w:tbl>
    <w:p>
      <w:pPr>
        <w:spacing w:before="0" w:after="120"/>
      </w:pPr>
    </w:p>
    <w:p>
      <w:pPr>
        <w:keepNext/>
        <w:spacing w:before="200" w:after="120"/>
      </w:pPr>
      <w:r>
        <w:rPr>
          <w:rFonts w:ascii="Calibri" w:hAnsi="Calibri"/>
          <w:b/>
          <w:color w:val="1F4E79"/>
          <w:sz w:val="28"/>
        </w:rPr>
        <w:t>User Profiles (C:\Users)</w:t>
      </w:r>
    </w:p>
    <w:p>
      <w:pPr>
        <w:spacing w:after="120" w:line="276" w:lineRule="auto"/>
      </w:pPr>
      <w:r>
        <w:rPr>
          <w:i w:val="0"/>
          <w:color w:val="333333"/>
        </w:rPr>
        <w:t>When a local user account logs in for the first time, the User Profile Service provisions a dedicated profile directory under C:\Users\&lt;Username&gt; (e.g., C:\Users\Max).</w:t>
      </w:r>
    </w:p>
    <w:p>
      <w:pPr>
        <w:spacing w:after="120" w:line="276" w:lineRule="auto"/>
      </w:pPr>
      <w:r>
        <w:rPr>
          <w:i w:val="0"/>
          <w:color w:val="333333"/>
        </w:rPr>
        <w:t>Every user profile folder is initialized with identical, standard directories, including: Desktop, Documents, Downloads, Music, and Pictures.</w:t>
      </w:r>
    </w:p>
    <w:p>
      <w:pPr>
        <w:keepNext/>
        <w:spacing w:before="360" w:after="240"/>
        <w:pBdr>
          <w:bottom w:val="single" w:sz="12" w:space="4" w:color="002060"/>
        </w:pBdr>
      </w:pPr>
      <w:r>
        <w:rPr>
          <w:rFonts w:ascii="Calibri" w:hAnsi="Calibri"/>
          <w:b/>
          <w:color w:val="002060"/>
          <w:sz w:val="40"/>
        </w:rPr>
        <w:t>2️⃣ System Security &amp; Privileges</w:t>
      </w:r>
    </w:p>
    <w:p>
      <w:pPr>
        <w:spacing w:after="120" w:line="276" w:lineRule="auto"/>
      </w:pPr>
      <w:r>
        <w:rPr>
          <w:i w:val="0"/>
          <w:color w:val="333333"/>
        </w:rPr>
        <w:t>Windows security structures restrict user actions to prevent malicious software from obtaining unauthorized, system-wide control.</w:t>
      </w:r>
    </w:p>
    <w:p>
      <w:pPr>
        <w:keepNext/>
        <w:spacing w:before="200" w:after="120"/>
      </w:pPr>
      <w:r>
        <w:rPr>
          <w:rFonts w:ascii="Calibri" w:hAnsi="Calibri"/>
          <w:b/>
          <w:color w:val="1F4E79"/>
          <w:sz w:val="28"/>
        </w:rPr>
        <w:t>Local User Account Types</w:t>
      </w:r>
    </w:p>
    <w:p>
      <w:pPr>
        <w:pStyle w:val="ListBullet"/>
        <w:spacing w:after="80"/>
      </w:pPr>
      <w:r>
        <w:rPr>
          <w:b/>
        </w:rPr>
        <w:t xml:space="preserve">Administrator: </w:t>
      </w:r>
      <w:r>
        <w:t>Holds full control over the local system. Administrators can add/remove users, modify security groups, configure hardware, and execute system-level modifications.</w:t>
      </w:r>
    </w:p>
    <w:p>
      <w:pPr>
        <w:pStyle w:val="ListBullet"/>
        <w:spacing w:after="200"/>
      </w:pPr>
      <w:r>
        <w:rPr>
          <w:b/>
        </w:rPr>
        <w:t xml:space="preserve">Standard User: </w:t>
      </w:r>
      <w:r>
        <w:t>Restricted to modifying files and folders attributed directly to their own profile. Standard users cannot execute system-level changes, such as installing system-wide applications or altering security parameters.</w:t>
      </w:r>
    </w:p>
    <w:p>
      <w:pPr>
        <w:keepNext/>
        <w:spacing w:before="200" w:after="120"/>
      </w:pPr>
      <w:r>
        <w:rPr>
          <w:rFonts w:ascii="Calibri" w:hAnsi="Calibri"/>
          <w:b/>
          <w:color w:val="1F4E79"/>
          <w:sz w:val="28"/>
        </w:rPr>
        <w:t>User Account Control (UAC)</w:t>
      </w:r>
    </w:p>
    <w:p>
      <w:pPr>
        <w:spacing w:after="120" w:line="276" w:lineRule="auto"/>
      </w:pPr>
      <w:r>
        <w:rPr>
          <w:i w:val="0"/>
          <w:color w:val="333333"/>
        </w:rPr>
        <w:t>Introduced to enforce the principle of least privilege. Even when an account type is configured as an Administrator, its default daily session does not run with elevated permissions.</w:t>
      </w:r>
    </w:p>
    <w:p>
      <w:pPr>
        <w:spacing w:after="120" w:line="276" w:lineRule="auto"/>
      </w:pPr>
      <w:r>
        <w:rPr>
          <w:i w:val="0"/>
          <w:color w:val="333333"/>
        </w:rPr>
        <w:t>When an operation requires higher-level privileges, UAC intercepts the execution and prompts the user to confirm the action. If a program requires UAC elevation, it will display a distinctive shield icon on its executable. For standard users, the UAC prompt requires entering an explicit Administrator password to proceed.</w:t>
      </w:r>
    </w:p>
    <w:p>
      <w:pPr>
        <w:keepNext/>
        <w:spacing w:before="200" w:after="120"/>
      </w:pPr>
      <w:r>
        <w:rPr>
          <w:rFonts w:ascii="Calibri" w:hAnsi="Calibri"/>
          <w:b/>
          <w:color w:val="1F4E79"/>
          <w:sz w:val="28"/>
        </w:rPr>
        <w:t>Alternate Data Streams (ADS)</w:t>
      </w:r>
    </w:p>
    <w:p>
      <w:pPr>
        <w:spacing w:after="120" w:line="276" w:lineRule="auto"/>
      </w:pPr>
      <w:r>
        <w:rPr>
          <w:i w:val="0"/>
          <w:color w:val="333333"/>
        </w:rPr>
        <w:t>A file attribute exclusive to the NTFS (New Technology File System) architecture. While standard files contain a primary data stream named $DATA, ADS allows a single file to contain multiple hidden streams of data.</w:t>
      </w:r>
    </w:p>
    <w:p>
      <w:pPr>
        <w:spacing w:after="120" w:line="276" w:lineRule="auto"/>
      </w:pPr>
      <w:r>
        <w:rPr>
          <w:i w:val="0"/>
          <w:color w:val="333333"/>
        </w:rPr>
        <w:t>These alternate streams are invisible to Windows Explorer and can only be viewed via PowerShell or specialized third-party tools.</w:t>
      </w:r>
    </w:p>
    <w:p>
      <w:pPr>
        <w:pStyle w:val="ListBullet"/>
        <w:spacing w:after="80"/>
      </w:pPr>
      <w:r>
        <w:rPr>
          <w:b/>
        </w:rPr>
        <w:t xml:space="preserve">Legitimate Use: </w:t>
      </w:r>
      <w:r>
        <w:t>Windows uses ADS to mark files downloaded from the internet with identifiers (Zone.Identifier), triggering security warnings when executed.</w:t>
      </w:r>
    </w:p>
    <w:p>
      <w:pPr>
        <w:pStyle w:val="ListBullet"/>
        <w:spacing w:after="240"/>
      </w:pPr>
      <w:r>
        <w:rPr>
          <w:b/>
        </w:rPr>
        <w:t xml:space="preserve">Malicious Use: </w:t>
      </w:r>
      <w:r>
        <w:t>Malware authors exploit ADS to hide malicious code or stolen data inside completely benign system files to evade detection.</w:t>
      </w:r>
    </w:p>
    <w:p>
      <w:pPr>
        <w:keepNext/>
        <w:spacing w:before="360" w:after="240"/>
        <w:pBdr>
          <w:bottom w:val="single" w:sz="12" w:space="4" w:color="002060"/>
        </w:pBdr>
      </w:pPr>
      <w:r>
        <w:rPr>
          <w:rFonts w:ascii="Calibri" w:hAnsi="Calibri"/>
          <w:b/>
          <w:color w:val="002060"/>
          <w:sz w:val="40"/>
        </w:rPr>
        <w:t>3️⃣ System Configuration (MSConfig)</w:t>
      </w:r>
    </w:p>
    <w:p>
      <w:pPr>
        <w:spacing w:after="120" w:line="276" w:lineRule="auto"/>
      </w:pPr>
      <w:r>
        <w:rPr>
          <w:i w:val="0"/>
          <w:color w:val="333333"/>
        </w:rPr>
        <w:t>The System Configuration utility (msconfig) is an administrative tool designed for advanced troubleshooting and diagnosing OS startup anomalies. It requires local administrator rights to launch.</w:t>
      </w:r>
    </w:p>
    <w:tbl>
      <w:tblPr>
        <w:tblW w:type="auto" w:w="0"/>
        <w:jc w:val="center"/>
        <w:tblLayout w:type="fixed"/>
        <w:tblLook w:firstColumn="1" w:firstRow="1" w:lastColumn="0" w:lastRow="0" w:noHBand="0" w:noVBand="1" w:val="04A0"/>
      </w:tblPr>
      <w:tblGrid>
        <w:gridCol w:w="4680"/>
        <w:gridCol w:w="4680"/>
      </w:tblGrid>
      <w:tr>
        <w:tc>
          <w:tcPr>
            <w:tcW w:type="dxa" w:w="2160"/>
            <w:shd w:fill="002060"/>
            <w:tcMar>
              <w:top w:w="120" w:type="dxa"/>
              <w:bottom w:w="120" w:type="dxa"/>
              <w:left w:w="120" w:type="dxa"/>
              <w:right w:w="120" w:type="dxa"/>
            </w:tcMar>
          </w:tcPr>
          <w:p>
            <w:r>
              <w:rPr>
                <w:b/>
                <w:color w:val="FFFFFF"/>
                <w:sz w:val="22"/>
              </w:rPr>
              <w:t>Tab</w:t>
            </w:r>
          </w:p>
        </w:tc>
        <w:tc>
          <w:tcPr>
            <w:tcW w:type="dxa" w:w="7200"/>
            <w:shd w:fill="002060"/>
            <w:tcMar>
              <w:top w:w="120" w:type="dxa"/>
              <w:bottom w:w="120" w:type="dxa"/>
              <w:left w:w="120" w:type="dxa"/>
              <w:right w:w="120" w:type="dxa"/>
            </w:tcMar>
          </w:tcPr>
          <w:p>
            <w:r>
              <w:rPr>
                <w:b/>
                <w:color w:val="FFFFFF"/>
                <w:sz w:val="22"/>
              </w:rPr>
              <w:t>Core Technical Functionality</w:t>
            </w:r>
          </w:p>
        </w:tc>
      </w:tr>
      <w:tr>
        <w:tc>
          <w:tcPr>
            <w:tcW w:type="dxa" w:w="2160"/>
            <w:shd w:fill="F2F4F7"/>
            <w:tcMar>
              <w:top w:w="100" w:type="dxa"/>
              <w:bottom w:w="100" w:type="dxa"/>
              <w:left w:w="120" w:type="dxa"/>
              <w:right w:w="120" w:type="dxa"/>
            </w:tcMar>
            <w:tcBorders>
              <w:top w:sz="4" w:val="single" w:color="D3D3D3" w:space="0"/>
              <w:bottom w:sz="4" w:val="single" w:color="D3D3D3" w:space="0"/>
              <w:left w:val="none"/>
              <w:right w:val="none"/>
            </w:tcBorders>
          </w:tcPr>
          <w:p>
            <w:r>
              <w:rPr>
                <w:b/>
                <w:color w:val="333333"/>
                <w:sz w:val="21"/>
              </w:rPr>
              <w:t>General</w:t>
            </w:r>
          </w:p>
        </w:tc>
        <w:tc>
          <w:tcPr>
            <w:tcW w:type="dxa" w:w="7200"/>
            <w:shd w:fill="F2F4F7"/>
            <w:tcMar>
              <w:top w:w="100" w:type="dxa"/>
              <w:bottom w:w="100" w:type="dxa"/>
              <w:left w:w="120" w:type="dxa"/>
              <w:right w:w="120" w:type="dxa"/>
            </w:tcMar>
            <w:tcBorders>
              <w:top w:sz="4" w:val="single" w:color="D3D3D3" w:space="0"/>
              <w:bottom w:sz="4" w:val="single" w:color="D3D3D3" w:space="0"/>
              <w:left w:val="none"/>
              <w:right w:val="none"/>
            </w:tcBorders>
          </w:tcPr>
          <w:p>
            <w:r>
              <w:rPr>
                <w:color w:val="333333"/>
                <w:sz w:val="21"/>
              </w:rPr>
              <w:t>Configures which drivers and services load at boot time. Offers three startup modes: Normal, Diagnostic, or Selective.</w:t>
            </w:r>
          </w:p>
        </w:tc>
      </w:tr>
      <w:tr>
        <w:tc>
          <w:tcPr>
            <w:tcW w:type="dxa" w:w="2160"/>
            <w:shd w:fill="FFFFFF"/>
            <w:tcMar>
              <w:top w:w="100" w:type="dxa"/>
              <w:bottom w:w="100" w:type="dxa"/>
              <w:left w:w="120" w:type="dxa"/>
              <w:right w:w="120" w:type="dxa"/>
            </w:tcMar>
            <w:tcBorders>
              <w:top w:sz="4" w:val="single" w:color="D3D3D3" w:space="0"/>
              <w:bottom w:sz="4" w:val="single" w:color="D3D3D3" w:space="0"/>
              <w:left w:val="none"/>
              <w:right w:val="none"/>
            </w:tcBorders>
          </w:tcPr>
          <w:p>
            <w:r>
              <w:rPr>
                <w:b/>
                <w:color w:val="333333"/>
                <w:sz w:val="21"/>
              </w:rPr>
              <w:t>Boot</w:t>
            </w:r>
          </w:p>
        </w:tc>
        <w:tc>
          <w:tcPr>
            <w:tcW w:type="dxa" w:w="7200"/>
            <w:shd w:fill="FFFFFF"/>
            <w:tcMar>
              <w:top w:w="100" w:type="dxa"/>
              <w:bottom w:w="100" w:type="dxa"/>
              <w:left w:w="120" w:type="dxa"/>
              <w:right w:w="120" w:type="dxa"/>
            </w:tcMar>
            <w:tcBorders>
              <w:top w:sz="4" w:val="single" w:color="D3D3D3" w:space="0"/>
              <w:bottom w:sz="4" w:val="single" w:color="D3D3D3" w:space="0"/>
              <w:left w:val="none"/>
              <w:right w:val="none"/>
            </w:tcBorders>
          </w:tcPr>
          <w:p>
            <w:r>
              <w:rPr>
                <w:color w:val="333333"/>
                <w:sz w:val="21"/>
              </w:rPr>
              <w:t>Configures advanced operating system boot parameters, including activating Safe Boot or managing multi-boot environments.</w:t>
            </w:r>
          </w:p>
        </w:tc>
      </w:tr>
      <w:tr>
        <w:tc>
          <w:tcPr>
            <w:tcW w:type="dxa" w:w="2160"/>
            <w:shd w:fill="F2F4F7"/>
            <w:tcMar>
              <w:top w:w="100" w:type="dxa"/>
              <w:bottom w:w="100" w:type="dxa"/>
              <w:left w:w="120" w:type="dxa"/>
              <w:right w:w="120" w:type="dxa"/>
            </w:tcMar>
            <w:tcBorders>
              <w:top w:sz="4" w:val="single" w:color="D3D3D3" w:space="0"/>
              <w:bottom w:sz="4" w:val="single" w:color="D3D3D3" w:space="0"/>
              <w:left w:val="none"/>
              <w:right w:val="none"/>
            </w:tcBorders>
          </w:tcPr>
          <w:p>
            <w:r>
              <w:rPr>
                <w:b/>
                <w:color w:val="333333"/>
                <w:sz w:val="21"/>
              </w:rPr>
              <w:t>Services</w:t>
            </w:r>
          </w:p>
        </w:tc>
        <w:tc>
          <w:tcPr>
            <w:tcW w:type="dxa" w:w="7200"/>
            <w:shd w:fill="F2F4F7"/>
            <w:tcMar>
              <w:top w:w="100" w:type="dxa"/>
              <w:bottom w:w="100" w:type="dxa"/>
              <w:left w:w="120" w:type="dxa"/>
              <w:right w:w="120" w:type="dxa"/>
            </w:tcMar>
            <w:tcBorders>
              <w:top w:sz="4" w:val="single" w:color="D3D3D3" w:space="0"/>
              <w:bottom w:sz="4" w:val="single" w:color="D3D3D3" w:space="0"/>
              <w:left w:val="none"/>
              <w:right w:val="none"/>
            </w:tcBorders>
          </w:tcPr>
          <w:p>
            <w:r>
              <w:rPr>
                <w:color w:val="333333"/>
                <w:sz w:val="21"/>
              </w:rPr>
              <w:t>Lists every system service regardless of status (Running or Stopped). Services are background applications managing core operations.</w:t>
            </w:r>
          </w:p>
        </w:tc>
      </w:tr>
      <w:tr>
        <w:tc>
          <w:tcPr>
            <w:tcW w:type="dxa" w:w="2160"/>
            <w:shd w:fill="FFFFFF"/>
            <w:tcMar>
              <w:top w:w="100" w:type="dxa"/>
              <w:bottom w:w="100" w:type="dxa"/>
              <w:left w:w="120" w:type="dxa"/>
              <w:right w:w="120" w:type="dxa"/>
            </w:tcMar>
            <w:tcBorders>
              <w:top w:sz="4" w:val="single" w:color="D3D3D3" w:space="0"/>
              <w:bottom w:sz="4" w:val="single" w:color="D3D3D3" w:space="0"/>
              <w:left w:val="none"/>
              <w:right w:val="none"/>
            </w:tcBorders>
          </w:tcPr>
          <w:p>
            <w:r>
              <w:rPr>
                <w:b/>
                <w:color w:val="333333"/>
                <w:sz w:val="21"/>
              </w:rPr>
              <w:t>Startup</w:t>
            </w:r>
          </w:p>
        </w:tc>
        <w:tc>
          <w:tcPr>
            <w:tcW w:type="dxa" w:w="7200"/>
            <w:shd w:fill="FFFFFF"/>
            <w:tcMar>
              <w:top w:w="100" w:type="dxa"/>
              <w:bottom w:w="100" w:type="dxa"/>
              <w:left w:w="120" w:type="dxa"/>
              <w:right w:w="120" w:type="dxa"/>
            </w:tcMar>
            <w:tcBorders>
              <w:top w:sz="4" w:val="single" w:color="D3D3D3" w:space="0"/>
              <w:bottom w:sz="4" w:val="single" w:color="D3D3D3" w:space="0"/>
              <w:left w:val="none"/>
              <w:right w:val="none"/>
            </w:tcBorders>
          </w:tcPr>
          <w:p>
            <w:r>
              <w:rPr>
                <w:color w:val="333333"/>
                <w:sz w:val="21"/>
              </w:rPr>
              <w:t>Directs users to the Task Manager for managing startup items in standard client OS environments.</w:t>
            </w:r>
          </w:p>
        </w:tc>
      </w:tr>
      <w:tr>
        <w:tc>
          <w:tcPr>
            <w:tcW w:type="dxa" w:w="2160"/>
            <w:shd w:fill="F2F4F7"/>
            <w:tcMar>
              <w:top w:w="100" w:type="dxa"/>
              <w:bottom w:w="100" w:type="dxa"/>
              <w:left w:w="120" w:type="dxa"/>
              <w:right w:w="120" w:type="dxa"/>
            </w:tcMar>
            <w:tcBorders>
              <w:top w:sz="4" w:val="single" w:color="D3D3D3" w:space="0"/>
              <w:bottom w:sz="4" w:val="single" w:color="D3D3D3" w:space="0"/>
              <w:left w:val="none"/>
              <w:right w:val="none"/>
            </w:tcBorders>
          </w:tcPr>
          <w:p>
            <w:r>
              <w:rPr>
                <w:b/>
                <w:color w:val="333333"/>
                <w:sz w:val="21"/>
              </w:rPr>
              <w:t>Tools</w:t>
            </w:r>
          </w:p>
        </w:tc>
        <w:tc>
          <w:tcPr>
            <w:tcW w:type="dxa" w:w="7200"/>
            <w:shd w:fill="F2F4F7"/>
            <w:tcMar>
              <w:top w:w="100" w:type="dxa"/>
              <w:bottom w:w="100" w:type="dxa"/>
              <w:left w:w="120" w:type="dxa"/>
              <w:right w:w="120" w:type="dxa"/>
            </w:tcMar>
            <w:tcBorders>
              <w:top w:sz="4" w:val="single" w:color="D3D3D3" w:space="0"/>
              <w:bottom w:sz="4" w:val="single" w:color="D3D3D3" w:space="0"/>
              <w:left w:val="none"/>
              <w:right w:val="none"/>
            </w:tcBorders>
          </w:tcPr>
          <w:p>
            <w:r>
              <w:rPr>
                <w:color w:val="333333"/>
                <w:sz w:val="21"/>
              </w:rPr>
              <w:t>A centralized index of native Windows diagnostics utilities, displaying a brief description of each tool and the exact command line required to launch it.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180" w:type="dxa"/>
              <w:right w:w="180" w:type="dxa"/>
            </w:tcMar>
            <w:tcBorders>
              <w:left w:sz="24" w:val="single" w:color="1F4E79" w:space="0"/>
              <w:top w:val="none"/>
              <w:bottom w:val="none"/>
              <w:right w:val="none"/>
            </w:tcBorders>
          </w:tcPr>
          <w:p>
            <w:pPr>
              <w:spacing w:after="80"/>
            </w:pPr>
            <w:r>
              <w:rPr>
                <w:b/>
                <w:color w:val="002060"/>
              </w:rPr>
              <w:t xml:space="preserve">⚠️ Windows Server Exception: </w:t>
            </w:r>
            <w:r>
              <w:rPr>
                <w:color w:val="333333"/>
                <w:sz w:val="21"/>
              </w:rPr>
              <w:t>Windows Server environments handle startup items differently; they do not appear in Task Manager. The reliable way to manage user-level startup items on a server is to inspect the Startup folder by running the command shell:startup via the Run prompt.</w:t>
            </w:r>
          </w:p>
        </w:tc>
      </w:tr>
    </w:tbl>
    <w:p>
      <w:pPr>
        <w:spacing w:before="0" w:after="120"/>
      </w:pPr>
    </w:p>
    <w:p>
      <w:pPr>
        <w:keepNext/>
        <w:spacing w:before="360" w:after="240"/>
        <w:pBdr>
          <w:bottom w:val="single" w:sz="12" w:space="4" w:color="002060"/>
        </w:pBdr>
      </w:pPr>
      <w:r>
        <w:rPr>
          <w:rFonts w:ascii="Calibri" w:hAnsi="Calibri"/>
          <w:b/>
          <w:color w:val="002060"/>
          <w:sz w:val="40"/>
        </w:rPr>
        <w:t>4️⃣ Computer Management (compmgmt)</w:t>
      </w:r>
    </w:p>
    <w:p>
      <w:pPr>
        <w:spacing w:after="120" w:line="276" w:lineRule="auto"/>
      </w:pPr>
      <w:r>
        <w:rPr>
          <w:i w:val="0"/>
          <w:color w:val="333333"/>
        </w:rPr>
        <w:t>The Computer Management console acts as a centralized umbrella interface, organizing critical tools into three primary architectural categories:</w:t>
      </w:r>
    </w:p>
    <w:p>
      <w:pPr>
        <w:keepNext/>
        <w:spacing w:before="200" w:after="120"/>
      </w:pPr>
      <w:r>
        <w:rPr>
          <w:rFonts w:ascii="Calibri" w:hAnsi="Calibri"/>
          <w:b/>
          <w:color w:val="1F4E79"/>
          <w:sz w:val="28"/>
        </w:rPr>
        <w:t>A. System Tools</w:t>
      </w:r>
    </w:p>
    <w:p>
      <w:pPr>
        <w:pStyle w:val="ListBullet"/>
        <w:spacing w:after="80"/>
      </w:pPr>
      <w:r>
        <w:rPr>
          <w:b/>
        </w:rPr>
        <w:t xml:space="preserve">Task Scheduler: </w:t>
      </w:r>
      <w:r>
        <w:t>Automates programs or scripts using predefined triggers. Tasks can be configured to run at logon, logoff, at a specific recurring time (e.g., daily at 10:00 AM), or as a non-recurring one-time event.</w:t>
      </w:r>
    </w:p>
    <w:p>
      <w:pPr>
        <w:pStyle w:val="ListBullet"/>
        <w:spacing w:after="80"/>
      </w:pPr>
      <w:r>
        <w:rPr>
          <w:b/>
        </w:rPr>
        <w:t xml:space="preserve">Event Viewer: </w:t>
      </w:r>
      <w:r>
        <w:t>Provides a historical audit trail of system, application, and security logs. It categorizes events into five types (Error, Warning, Information, Success Audit, Failure Audit) and is heavily relied upon by security analysts for forensic investigations.</w:t>
      </w:r>
    </w:p>
    <w:p>
      <w:pPr>
        <w:pStyle w:val="ListBullet"/>
        <w:spacing w:after="80"/>
      </w:pPr>
      <w:r>
        <w:rPr>
          <w:b/>
        </w:rPr>
        <w:t xml:space="preserve">Shared Folders: </w:t>
      </w:r>
      <w:r>
        <w:t>Monitors network shares. It lists active shares (including administrative hidden shares like C$ and ADMIN$), current active remote user sessions (Sessions), and files currently accessed by remote users (Open Files).</w:t>
      </w:r>
    </w:p>
    <w:p>
      <w:pPr>
        <w:pStyle w:val="ListBullet"/>
        <w:spacing w:after="80"/>
      </w:pPr>
      <w:r>
        <w:rPr>
          <w:b/>
        </w:rPr>
        <w:t xml:space="preserve">Local Users and Groups: </w:t>
      </w:r>
      <w:r>
        <w:t>Interfaces with lusrmgr.msc to manage account creation, deletion, and group assignments. Users inherit permissions dynamically based on the groups they are assigned to.</w:t>
      </w:r>
    </w:p>
    <w:p>
      <w:pPr>
        <w:pStyle w:val="ListBullet"/>
        <w:spacing w:after="80"/>
      </w:pPr>
      <w:r>
        <w:rPr>
          <w:b/>
        </w:rPr>
        <w:t xml:space="preserve">Performance Monitor (perfmon): </w:t>
      </w:r>
      <w:r>
        <w:t>Tracks hardware utilization (CPU, RAM, Disk) in real-time or parses historical log files to diagnose resource bottlenecks.</w:t>
      </w:r>
    </w:p>
    <w:p>
      <w:pPr>
        <w:pStyle w:val="ListBullet"/>
        <w:spacing w:after="200"/>
      </w:pPr>
      <w:r>
        <w:rPr>
          <w:b/>
        </w:rPr>
        <w:t xml:space="preserve">Device Manager: </w:t>
      </w:r>
      <w:r>
        <w:t>Displays all installed physical and virtual hardware components, allowing administrators to update drivers, inspect hardware status, or disable components.</w:t>
      </w:r>
    </w:p>
    <w:p>
      <w:pPr>
        <w:keepNext/>
        <w:spacing w:before="240" w:after="120"/>
      </w:pPr>
      <w:r>
        <w:rPr>
          <w:rFonts w:ascii="Calibri" w:hAnsi="Calibri"/>
          <w:b/>
          <w:color w:val="1F4E79"/>
          <w:sz w:val="28"/>
        </w:rPr>
        <w:t>B. Storage</w:t>
      </w:r>
    </w:p>
    <w:p>
      <w:pPr>
        <w:spacing w:after="200" w:line="276" w:lineRule="auto"/>
      </w:pPr>
      <w:r/>
    </w:p>
    <w:p>
      <w:pPr>
        <w:spacing w:after="120" w:line="276" w:lineRule="auto"/>
      </w:pPr>
      <w:r>
        <w:rPr>
          <w:b/>
          <w:color w:val="333333"/>
        </w:rPr>
        <w:t xml:space="preserve">Disk Management: </w:t>
      </w:r>
      <w:r>
        <w:rPr>
          <w:i w:val="0"/>
          <w:color w:val="333333"/>
        </w:rPr>
        <w:t>A system utility for advanced storage provisioning. It enables administrators to initialize new storage drives, extend partitions into unallocated space, shrink existing partitions, and assign or modify drive letters (e.g., altering D: to E:).</w:t>
      </w:r>
    </w:p>
    <w:p>
      <w:pPr>
        <w:keepNext/>
        <w:spacing w:before="240" w:after="120"/>
      </w:pPr>
      <w:r>
        <w:rPr>
          <w:rFonts w:ascii="Calibri" w:hAnsi="Calibri"/>
          <w:b/>
          <w:color w:val="1F4E79"/>
          <w:sz w:val="28"/>
        </w:rPr>
        <w:t>C. Services and Applications</w:t>
      </w:r>
    </w:p>
    <w:p>
      <w:pPr>
        <w:spacing w:after="120" w:line="276" w:lineRule="auto"/>
      </w:pPr>
      <w:r/>
    </w:p>
    <w:p>
      <w:pPr>
        <w:spacing w:after="120" w:line="276" w:lineRule="auto"/>
      </w:pPr>
      <w:r>
        <w:rPr>
          <w:b/>
          <w:color w:val="333333"/>
        </w:rPr>
        <w:t xml:space="preserve">Services: </w:t>
      </w:r>
      <w:r>
        <w:rPr>
          <w:i w:val="0"/>
          <w:color w:val="333333"/>
        </w:rPr>
        <w:t>Manages background applications. The Startup Type configured in a service's properties dictates its lifecycle behavior:</w:t>
      </w:r>
    </w:p>
    <w:p>
      <w:pPr>
        <w:pStyle w:val="ListBullet2"/>
        <w:spacing w:after="60"/>
      </w:pPr>
      <w:r>
        <w:rPr>
          <w:b/>
        </w:rPr>
        <w:t xml:space="preserve">Automatic: </w:t>
      </w:r>
      <w:r>
        <w:t>Starts instantly when the operating system boots up.</w:t>
      </w:r>
    </w:p>
    <w:p>
      <w:pPr>
        <w:pStyle w:val="ListBullet2"/>
        <w:spacing w:after="60"/>
      </w:pPr>
      <w:r>
        <w:rPr>
          <w:b/>
        </w:rPr>
        <w:t xml:space="preserve">Manual: </w:t>
      </w:r>
      <w:r>
        <w:t>Remains dormant until explicitly triggered by a user or another active process.</w:t>
      </w:r>
    </w:p>
    <w:p>
      <w:pPr>
        <w:pStyle w:val="ListBullet2"/>
        <w:spacing w:after="120"/>
      </w:pPr>
      <w:r>
        <w:rPr>
          <w:b/>
        </w:rPr>
        <w:t xml:space="preserve">Disabled: </w:t>
      </w:r>
      <w:r>
        <w:t>Completely blocked from running under any circumstances.</w:t>
      </w:r>
    </w:p>
    <w:p>
      <w:pPr>
        <w:spacing w:after="120" w:line="276" w:lineRule="auto"/>
      </w:pPr>
      <w:r>
        <w:rPr>
          <w:b/>
          <w:color w:val="333333"/>
        </w:rPr>
        <w:t xml:space="preserve">WMI Control: </w:t>
      </w:r>
      <w:r>
        <w:rPr>
          <w:i w:val="0"/>
          <w:color w:val="333333"/>
        </w:rPr>
        <w:t>Manages the Windows Management Instrumentation (WMI) infrastructure, which allows scripting languages like PowerShell to automate local and remote configuration changes. (Note: The legacy command-line tool WMIC is deprecated; PowerShell handles WMI operations natively).</w:t>
      </w:r>
    </w:p>
    <w:p>
      <w:pPr>
        <w:keepNext/>
        <w:spacing w:before="360" w:after="240"/>
        <w:pBdr>
          <w:bottom w:val="single" w:sz="12" w:space="4" w:color="002060"/>
        </w:pBdr>
      </w:pPr>
      <w:r>
        <w:rPr>
          <w:rFonts w:ascii="Calibri" w:hAnsi="Calibri"/>
          <w:b/>
          <w:color w:val="002060"/>
          <w:sz w:val="40"/>
        </w:rPr>
        <w:t>5️⃣ Advanced System Settings &amp; Information</w:t>
      </w:r>
    </w:p>
    <w:p>
      <w:pPr>
        <w:spacing w:after="120" w:line="276" w:lineRule="auto"/>
      </w:pPr>
      <w:r>
        <w:rPr>
          <w:i w:val="0"/>
          <w:color w:val="333333"/>
        </w:rPr>
        <w:t>These diagnostic interfaces enable administrators to control OS performance metrics, recover from system errors, and parse comprehensive machine specifications.</w:t>
      </w:r>
    </w:p>
    <w:p>
      <w:pPr>
        <w:keepNext/>
        <w:spacing w:before="200" w:after="120"/>
      </w:pPr>
      <w:r>
        <w:rPr>
          <w:rFonts w:ascii="Calibri" w:hAnsi="Calibri"/>
          <w:b/>
          <w:color w:val="1F4E79"/>
          <w:sz w:val="28"/>
        </w:rPr>
        <w:t>Virtual Memory &amp; The Page File</w:t>
      </w:r>
    </w:p>
    <w:p>
      <w:pPr>
        <w:spacing w:after="120" w:line="276" w:lineRule="auto"/>
      </w:pPr>
      <w:r>
        <w:rPr>
          <w:i w:val="0"/>
          <w:color w:val="333333"/>
        </w:rPr>
        <w:t>When physical RAM capacity becomes exhausted, Windows allocates a portion of the hard drive to act as simulated virtual memory, known as the Page File (e.g., configured defaults such as 1048 MB).</w:t>
      </w:r>
    </w:p>
    <w:p>
      <w:pPr>
        <w:spacing w:after="120" w:line="276" w:lineRule="auto"/>
      </w:pPr>
      <w:r/>
    </w:p>
    <w:p>
      <w:pPr>
        <w:spacing w:after="120" w:line="276" w:lineRule="auto"/>
      </w:pPr>
      <w:r>
        <w:rPr>
          <w:b/>
          <w:color w:val="333333"/>
        </w:rPr>
        <w:t xml:space="preserve">Purpose: </w:t>
      </w:r>
      <w:r>
        <w:rPr>
          <w:i w:val="0"/>
          <w:color w:val="333333"/>
        </w:rPr>
        <w:t>It provides emergency overflow space to prevent application crashes, memory exhaustion errors, and abrupt system slowdowns. Administrators can configure whether Windows dynamically handles this allocation size or set static maximum limits.</w:t>
      </w:r>
    </w:p>
    <w:p>
      <w:pPr>
        <w:keepNext/>
        <w:spacing w:before="200" w:after="120"/>
      </w:pPr>
      <w:r>
        <w:rPr>
          <w:rFonts w:ascii="Calibri" w:hAnsi="Calibri"/>
          <w:b/>
          <w:color w:val="1F4E79"/>
          <w:sz w:val="28"/>
        </w:rPr>
        <w:t>Startup and Recovery (Crash Dumps)</w:t>
      </w:r>
    </w:p>
    <w:p>
      <w:pPr>
        <w:spacing w:after="120" w:line="276" w:lineRule="auto"/>
      </w:pPr>
      <w:r>
        <w:rPr>
          <w:i w:val="0"/>
          <w:color w:val="333333"/>
        </w:rPr>
        <w:t>When Windows suffers a fatal system-level kernel error—commonly known as a Blue Screen of Death (BSOD)—it writes debugging information into a Crash Dump File.</w:t>
      </w:r>
    </w:p>
    <w:p>
      <w:pPr>
        <w:spacing w:after="120" w:line="276" w:lineRule="auto"/>
      </w:pPr>
      <w:r>
        <w:rPr>
          <w:i w:val="0"/>
          <w:color w:val="333333"/>
        </w:rPr>
        <w:t>These crash dumps provide administrators and security analysts with a diagnostic snapshot of the exact kernel state at the moment of failure. Supported dump configurations include: Automatic memory dump, Kernel memory dump, Small memory dump (256 KB), and Complete memory dump.</w:t>
      </w:r>
    </w:p>
    <w:p>
      <w:pPr>
        <w:keepNext/>
        <w:spacing w:before="200" w:after="120"/>
      </w:pPr>
      <w:r>
        <w:rPr>
          <w:rFonts w:ascii="Calibri" w:hAnsi="Calibri"/>
          <w:b/>
          <w:color w:val="1F4E79"/>
          <w:sz w:val="28"/>
        </w:rPr>
        <w:t>System Information (msinfo32)</w:t>
      </w:r>
    </w:p>
    <w:p>
      <w:pPr>
        <w:spacing w:after="120" w:line="276" w:lineRule="auto"/>
      </w:pPr>
      <w:r>
        <w:rPr>
          <w:i w:val="0"/>
          <w:color w:val="333333"/>
        </w:rPr>
        <w:t>Aggregates a granular technical inventory of the machine's parameters, split into three distinct categories:</w:t>
      </w:r>
    </w:p>
    <w:p>
      <w:pPr>
        <w:pStyle w:val="ListBullet"/>
        <w:spacing w:after="80"/>
      </w:pPr>
      <w:r>
        <w:rPr>
          <w:b/>
        </w:rPr>
        <w:t xml:space="preserve">Hardware Resources: </w:t>
      </w:r>
      <w:r>
        <w:t>Low-level architecture metrics (DMA, IRQs, Memory Addresses) utilized by hardware communication layers.</w:t>
      </w:r>
    </w:p>
    <w:p>
      <w:pPr>
        <w:pStyle w:val="ListBullet"/>
        <w:spacing w:after="80"/>
      </w:pPr>
      <w:r>
        <w:rPr>
          <w:b/>
        </w:rPr>
        <w:t xml:space="preserve">Components: </w:t>
      </w:r>
      <w:r>
        <w:t>Granular technical specifications for installed peripheral devices (Display, Input, Storage, Network adapters).</w:t>
      </w:r>
    </w:p>
    <w:p>
      <w:pPr>
        <w:pStyle w:val="ListBullet"/>
        <w:spacing w:after="200"/>
      </w:pPr>
      <w:r>
        <w:rPr>
          <w:b/>
        </w:rPr>
        <w:t xml:space="preserve">Software Environment: </w:t>
      </w:r>
      <w:r>
        <w:t>A live record of drivers, environment variables, network connections, and active software suites. It features a built-in search tool at the bottom to quickly isolate specific system parameters, such as the machine's current IP Address.</w:t>
      </w:r>
    </w:p>
    <w:p>
      <w:pPr>
        <w:keepNext/>
        <w:spacing w:before="200" w:after="120"/>
      </w:pPr>
      <w:r>
        <w:rPr>
          <w:rFonts w:ascii="Calibri" w:hAnsi="Calibri"/>
          <w:b/>
          <w:color w:val="1F4E79"/>
          <w:sz w:val="28"/>
        </w:rPr>
        <w:t>PsShutdown (Sysinternals Suite)</w:t>
      </w:r>
    </w:p>
    <w:p>
      <w:pPr>
        <w:spacing w:after="120" w:line="276" w:lineRule="auto"/>
      </w:pPr>
      <w:r>
        <w:rPr>
          <w:i w:val="0"/>
          <w:color w:val="333333"/>
        </w:rPr>
        <w:t>A specialized Microsoft command-line utility that extends standard shutdown capabilities. It allows administrators to log off users, lock workstations, put machines to sleep, or initiate reboots remotely across a network, complete with customizable countdown timers and warning messages for active users.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