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color w:val="9B1C1C"/>
          <w:sz w:val="36"/>
        </w:rPr>
        <w:t>HOW TO CONNECT TO SSH USING A PRIVATE KEY</w:t>
      </w:r>
    </w:p>
    <w:p>
      <w:pPr>
        <w:spacing w:after="400"/>
        <w:jc w:val="left"/>
      </w:pPr>
      <w:r>
        <w:rPr>
          <w:i/>
          <w:color w:val="C81E1E"/>
          <w:sz w:val="22"/>
        </w:rPr>
        <w:t>Infrastructure Pentesting Quick-Reference Guide</w:t>
      </w:r>
    </w:p>
    <w:tbl>
      <w:tblPr>
        <w:tblW w:type="auto" w:w="0"/>
        <w:jc w:val="left"/>
        <w:tblLayout w:type="fixed"/>
        <w:tblLook w:firstColumn="1" w:firstRow="1" w:lastColumn="0" w:lastRow="0" w:noHBand="0" w:noVBand="1" w:val="04A0"/>
      </w:tblPr>
      <w:tblGrid>
        <w:gridCol w:w="8928"/>
      </w:tblGrid>
      <w:tr>
        <w:tc>
          <w:tcPr>
            <w:tcW w:type="dxa" w:w="9029"/>
            <w:shd w:fill="FFF5F5"/>
            <w:tcBorders>
              <w:top w:val="none"/>
              <w:left w:val="single" w:sz="24" w:space="0" w:color="9B1C1C"/>
              <w:bottom w:val="none"/>
              <w:right w:val="none"/>
            </w:tcBorders>
            <w:tcMar>
              <w:top w:w="140" w:type="dxa"/>
              <w:bottom w:w="140" w:type="dxa"/>
              <w:left w:w="200" w:type="dxa"/>
              <w:right w:w="200" w:type="dxa"/>
            </w:tcMar>
          </w:tcPr>
          <w:p>
            <w:pPr>
              <w:spacing w:before="80" w:after="80"/>
              <w:jc w:val="left"/>
            </w:pPr>
            <w:r>
              <w:rPr>
                <w:rFonts w:ascii="Arial" w:hAnsi="Arial"/>
                <w:i/>
                <w:color w:val="2D3748"/>
                <w:sz w:val="21"/>
              </w:rPr>
              <w:t>CRITICAL NOTE: When establishing an SSH authentication sequence using an harvested cryptographic private asset, your local client binary will completely reject the token if file-level permissions are loose or viewable by other system entities. Setting up strict local execution parameters is an absolute prerequisite.</w:t>
            </w:r>
          </w:p>
        </w:tc>
      </w:tr>
    </w:tbl>
    <w:p>
      <w:pPr>
        <w:spacing w:before="280" w:after="40"/>
      </w:pPr>
      <w:r>
        <w:rPr>
          <w:b/>
          <w:color w:val="C81E1E"/>
          <w:sz w:val="24"/>
        </w:rPr>
        <w:t xml:space="preserve">STEP 1: </w:t>
      </w:r>
      <w:r>
        <w:rPr>
          <w:b/>
          <w:color w:val="9B1C1C"/>
          <w:sz w:val="24"/>
        </w:rPr>
        <w:t>Capture and Save the Cryptographic Asset</w:t>
      </w:r>
    </w:p>
    <w:p>
      <w:pPr>
        <w:spacing w:after="80"/>
      </w:pPr>
      <w:r>
        <w:t>Extract the complete block of raw cryptographic asset string gathered from your initial network surface compromises (such as exposed SMB, misconfigured FTP paths, or NFS exports). Save this payload locally into a dedicated system configuration file on your attack machine.</w:t>
      </w:r>
    </w:p>
    <w:p>
      <w:pPr>
        <w:spacing w:after="40"/>
      </w:pPr>
      <w:r>
        <w:rPr>
          <w:b/>
        </w:rPr>
        <w:t>• Command Execution Format:</w:t>
      </w:r>
    </w:p>
    <w:tbl>
      <w:tblPr>
        <w:tblW w:type="auto" w:w="0"/>
        <w:jc w:val="left"/>
        <w:tblLayout w:type="fixed"/>
        <w:tblLook w:firstColumn="1" w:firstRow="1" w:lastColumn="0" w:lastRow="0" w:noHBand="0" w:noVBand="1" w:val="04A0"/>
      </w:tblPr>
      <w:tblGrid>
        <w:gridCol w:w="8928"/>
      </w:tblGrid>
      <w:tr>
        <w:tc>
          <w:tcPr>
            <w:tcW w:type="dxa" w:w="9029"/>
            <w:shd w:fill="FAFAFA"/>
            <w:tcBorders>
              <w:top w:val="single" w:sz="4" w:space="0" w:color="E2E8F0"/>
              <w:left w:val="single" w:sz="4" w:space="0" w:color="E2E8F0"/>
              <w:bottom w:val="single" w:sz="4" w:space="0" w:color="E2E8F0"/>
              <w:right w:val="single" w:sz="4" w:space="0" w:color="E2E8F0"/>
            </w:tcBorders>
            <w:tcMar>
              <w:top w:w="100" w:type="dxa"/>
              <w:bottom w:w="100" w:type="dxa"/>
              <w:left w:w="150" w:type="dxa"/>
              <w:right w:w="150" w:type="dxa"/>
            </w:tcMar>
          </w:tcPr>
          <w:p>
            <w:pPr>
              <w:spacing w:before="40" w:after="40"/>
            </w:pPr>
            <w:r>
              <w:rPr>
                <w:rFonts w:ascii="Courier New" w:hAnsi="Courier New"/>
                <w:color w:val="1A202C"/>
                <w:sz w:val="20"/>
              </w:rPr>
              <w:t>nano id_rsa</w:t>
              <w:br/>
              <w:t># [Paste the raw text asset blocks starting with -----BEGIN OPENSSH PRIVATE KEY-----]</w:t>
            </w:r>
          </w:p>
        </w:tc>
      </w:tr>
    </w:tbl>
    <w:p>
      <w:pPr>
        <w:spacing w:before="280" w:after="40"/>
      </w:pPr>
      <w:r>
        <w:rPr>
          <w:b/>
          <w:color w:val="C81E1E"/>
          <w:sz w:val="24"/>
        </w:rPr>
        <w:t xml:space="preserve">STEP 2: </w:t>
      </w:r>
      <w:r>
        <w:rPr>
          <w:b/>
          <w:color w:val="9B1C1C"/>
          <w:sz w:val="24"/>
        </w:rPr>
        <w:t>Enforce Strict File System Execution Permissions</w:t>
      </w:r>
    </w:p>
    <w:p>
      <w:pPr>
        <w:spacing w:after="80"/>
      </w:pPr>
      <w:r>
        <w:t>Apply restrictive file permissions onto your staging text asset to secure its posture. Failing to lock down read permissions on a harvested identification block triggers a default structural security error within the built-in OpenSSH engine, rendering the asset completely un-executable.</w:t>
      </w:r>
    </w:p>
    <w:p>
      <w:pPr>
        <w:spacing w:after="40"/>
      </w:pPr>
      <w:r>
        <w:rPr>
          <w:b/>
        </w:rPr>
        <w:t>• Lock Down System Access Permissions:</w:t>
      </w:r>
    </w:p>
    <w:tbl>
      <w:tblPr>
        <w:tblW w:type="auto" w:w="0"/>
        <w:jc w:val="left"/>
        <w:tblLayout w:type="fixed"/>
        <w:tblLook w:firstColumn="1" w:firstRow="1" w:lastColumn="0" w:lastRow="0" w:noHBand="0" w:noVBand="1" w:val="04A0"/>
      </w:tblPr>
      <w:tblGrid>
        <w:gridCol w:w="8928"/>
      </w:tblGrid>
      <w:tr>
        <w:tc>
          <w:tcPr>
            <w:tcW w:type="dxa" w:w="9029"/>
            <w:shd w:fill="FAFAFA"/>
            <w:tcBorders>
              <w:top w:val="single" w:sz="4" w:space="0" w:color="E2E8F0"/>
              <w:left w:val="single" w:sz="4" w:space="0" w:color="E2E8F0"/>
              <w:bottom w:val="single" w:sz="4" w:space="0" w:color="E2E8F0"/>
              <w:right w:val="single" w:sz="4" w:space="0" w:color="E2E8F0"/>
            </w:tcBorders>
            <w:tcMar>
              <w:top w:w="100" w:type="dxa"/>
              <w:bottom w:w="100" w:type="dxa"/>
              <w:left w:w="150" w:type="dxa"/>
              <w:right w:w="150" w:type="dxa"/>
            </w:tcMar>
          </w:tcPr>
          <w:p>
            <w:pPr>
              <w:spacing w:before="40" w:after="40"/>
            </w:pPr>
            <w:r>
              <w:rPr>
                <w:rFonts w:ascii="Courier New" w:hAnsi="Courier New"/>
                <w:color w:val="1A202C"/>
                <w:sz w:val="20"/>
              </w:rPr>
              <w:t>chmod 600 id_rsa</w:t>
            </w:r>
          </w:p>
        </w:tc>
      </w:tr>
    </w:tbl>
    <w:p>
      <w:pPr>
        <w:spacing w:before="280" w:after="40"/>
      </w:pPr>
      <w:r>
        <w:rPr>
          <w:b/>
          <w:color w:val="C81E1E"/>
          <w:sz w:val="24"/>
        </w:rPr>
        <w:t xml:space="preserve">STEP 3: </w:t>
      </w:r>
      <w:r>
        <w:rPr>
          <w:b/>
          <w:color w:val="9B1C1C"/>
          <w:sz w:val="24"/>
        </w:rPr>
        <w:t>Initiate the Remote Authentication Handshake</w:t>
      </w:r>
    </w:p>
    <w:p>
      <w:pPr>
        <w:spacing w:after="80"/>
      </w:pPr>
      <w:r>
        <w:t>Execute an explicit authentication challenge against the exposed remote portal using the target user profile profile mapped from earlier service profiling sweeps.</w:t>
      </w:r>
    </w:p>
    <w:p>
      <w:pPr>
        <w:spacing w:after="40"/>
      </w:pPr>
      <w:r>
        <w:rPr>
          <w:b/>
        </w:rPr>
        <w:t>• Execute Key-Based Remote Login Command:</w:t>
      </w:r>
    </w:p>
    <w:tbl>
      <w:tblPr>
        <w:tblW w:type="auto" w:w="0"/>
        <w:jc w:val="left"/>
        <w:tblLayout w:type="fixed"/>
        <w:tblLook w:firstColumn="1" w:firstRow="1" w:lastColumn="0" w:lastRow="0" w:noHBand="0" w:noVBand="1" w:val="04A0"/>
      </w:tblPr>
      <w:tblGrid>
        <w:gridCol w:w="8928"/>
      </w:tblGrid>
      <w:tr>
        <w:tc>
          <w:tcPr>
            <w:tcW w:type="dxa" w:w="9029"/>
            <w:shd w:fill="FAFAFA"/>
            <w:tcBorders>
              <w:top w:val="single" w:sz="4" w:space="0" w:color="E2E8F0"/>
              <w:left w:val="single" w:sz="4" w:space="0" w:color="E2E8F0"/>
              <w:bottom w:val="single" w:sz="4" w:space="0" w:color="E2E8F0"/>
              <w:right w:val="single" w:sz="4" w:space="0" w:color="E2E8F0"/>
            </w:tcBorders>
            <w:tcMar>
              <w:top w:w="100" w:type="dxa"/>
              <w:bottom w:w="100" w:type="dxa"/>
              <w:left w:w="150" w:type="dxa"/>
              <w:right w:w="150" w:type="dxa"/>
            </w:tcMar>
          </w:tcPr>
          <w:p>
            <w:pPr>
              <w:spacing w:before="40" w:after="40"/>
            </w:pPr>
            <w:r>
              <w:rPr>
                <w:rFonts w:ascii="Courier New" w:hAnsi="Courier New"/>
                <w:color w:val="1A202C"/>
                <w:sz w:val="20"/>
              </w:rPr>
              <w:t>ssh -i id_rsa username@IP_ADDRESS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