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季度报告</w:t>
      </w:r>
    </w:p>
    <w:p>
      <w:pPr>
        <w:jc w:val="right"/>
      </w:pPr>
      <w:r>
        <w:rPr>
          <w:sz w:val="20"/>
        </w:rPr>
        <w:t>日期: 2025-10-21</w:t>
      </w:r>
    </w:p>
    <w:p>
      <w:pPr>
        <w:jc w:val="left"/>
      </w:pPr>
    </w:p>
    <w:p>
      <w:pPr>
        <w:pStyle w:val="Heading1"/>
        <w:jc w:val="left"/>
      </w:pPr>
      <w:r>
        <w:t>执行摘要</w:t>
      </w:r>
    </w:p>
    <w:p>
      <w:pPr>
        <w:jc w:val="left"/>
      </w:pPr>
      <w:r>
        <w:t>本季度业绩良好，销售额同比增长25%。</w:t>
      </w:r>
    </w:p>
    <w:p>
      <w:pPr>
        <w:pStyle w:val="Heading1"/>
        <w:jc w:val="left"/>
      </w:pPr>
      <w:r>
        <w:t>销售数据</w:t>
      </w:r>
    </w:p>
    <w:p>
      <w:pPr>
        <w:jc w:val="left"/>
      </w:pPr>
      <w:r>
        <w:t>各门店销售情况稳定增长。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门店</w:t>
            </w:r>
          </w:p>
        </w:tc>
        <w:tc>
          <w:tcPr>
            <w:tcW w:type="dxa" w:w="2880"/>
          </w:tcPr>
          <w:p>
            <w:r>
              <w:rPr>
                <w:b/>
              </w:rPr>
              <w:t>销售额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增长率</w:t>
            </w:r>
          </w:p>
        </w:tc>
      </w:tr>
      <w:tr>
        <w:tc>
          <w:tcPr>
            <w:tcW w:type="dxa" w:w="2880"/>
          </w:tcPr>
          <w:p>
            <w:r>
              <w:t>A店</w:t>
            </w:r>
          </w:p>
        </w:tc>
        <w:tc>
          <w:tcPr>
            <w:tcW w:type="dxa" w:w="2880"/>
          </w:tcPr>
          <w:p>
            <w:r>
              <w:t>100万</w:t>
            </w:r>
          </w:p>
        </w:tc>
        <w:tc>
          <w:tcPr>
            <w:tcW w:type="dxa" w:w="2880"/>
          </w:tcPr>
          <w:p>
            <w:r>
              <w:t>+20%</w:t>
            </w:r>
          </w:p>
        </w:tc>
      </w:tr>
      <w:tr>
        <w:tc>
          <w:tcPr>
            <w:tcW w:type="dxa" w:w="2880"/>
          </w:tcPr>
          <w:p>
            <w:r>
              <w:t>B店</w:t>
            </w:r>
          </w:p>
        </w:tc>
        <w:tc>
          <w:tcPr>
            <w:tcW w:type="dxa" w:w="2880"/>
          </w:tcPr>
          <w:p>
            <w:r>
              <w:t>80万</w:t>
            </w:r>
          </w:p>
        </w:tc>
        <w:tc>
          <w:tcPr>
            <w:tcW w:type="dxa" w:w="2880"/>
          </w:tcPr>
          <w:p>
            <w:r>
              <w:t>+15%</w:t>
            </w:r>
          </w:p>
        </w:tc>
      </w:tr>
    </w:tbl>
    <w:p>
      <w:pPr>
        <w:pStyle w:val="Heading1"/>
        <w:jc w:val="left"/>
      </w:pPr>
      <w:r>
        <w:t>结论</w:t>
      </w:r>
    </w:p>
    <w:p>
      <w:pPr>
        <w:jc w:val="left"/>
      </w:pPr>
      <w:r>
        <w:t>整体表现优异，继续保持增长势头。</w:t>
      </w:r>
    </w:p>
    <w:p>
      <w:pPr>
        <w:pStyle w:val="Heading1"/>
        <w:jc w:val="left"/>
      </w:pPr>
      <w:r>
        <w:t>建议</w:t>
      </w:r>
    </w:p>
    <w:p>
      <w:pPr>
        <w:pStyle w:val="ListBullet"/>
      </w:pPr>
      <w:r>
        <w:t>加强营销</w:t>
      </w:r>
    </w:p>
    <w:p>
      <w:pPr>
        <w:pStyle w:val="ListBullet"/>
      </w:pPr>
      <w:r>
        <w:t>优化成本</w:t>
      </w:r>
    </w:p>
    <w:p>
      <w:pPr>
        <w:pStyle w:val="ListBullet"/>
      </w:pPr>
      <w:r>
        <w:t>提升服务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