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Space Grotesk" w:cs="Space Grotesk" w:eastAsia="Space Grotesk" w:hAnsi="Space Grotesk"/>
          <w:b/>
          <w:bCs/>
          <w:color w:val="800080"/>
          <w:sz w:val="18"/>
          <w:szCs w:val="18"/>
        </w:rPr>
        <w:t xml:space="preserve">FLIQ · ENACTUS </w:t>
      </w:r>
      <w:r>
        <w:rPr>
          <w:rFonts w:ascii="Space Grotesk" w:cs="Space Grotesk" w:eastAsia="Space Grotesk" w:hAnsi="Space Grotesk"/>
          <w:color w:val="6E6787"/>
          <w:sz w:val="18"/>
          <w:szCs w:val="18"/>
        </w:rPr>
        <w:t xml:space="preserve">HKUST — ANNUAL REPORT · PAGE 4</w:t>
      </w:r>
    </w:p>
    <w:p>
      <w:pPr>
        <w:shd w:fill="EFE9FF" w:val="clear"/>
        <w:spacing w:after="100" w:before="160"/>
      </w:pPr>
      <w:r>
        <w:rPr>
          <w:rFonts w:ascii="Space Grotesk" w:cs="Space Grotesk" w:eastAsia="Space Grotesk" w:hAnsi="Space Grotesk"/>
          <w:b/>
          <w:bCs/>
          <w:color w:val="11256A"/>
          <w:sz w:val="22"/>
          <w:szCs w:val="22"/>
        </w:rPr>
        <w:t xml:space="preserve">  Impact Overview Table 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1540"/>
        <w:gridCol w:w="1300"/>
        <w:gridCol w:w="1180"/>
        <w:gridCol w:w="1180"/>
        <w:gridCol w:w="1150"/>
        <w:gridCol w:w="1220"/>
        <w:gridCol w:w="1586"/>
      </w:tblGrid>
      <w:tr>
        <w:trPr>
          <w:tblHeader/>
        </w:trPr>
        <w:tc>
          <w:tcPr>
            <w:tcW w:type="dxa" w:w="131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11256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154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11256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Direct Impact (people)</w:t>
            </w:r>
          </w:p>
        </w:tc>
        <w:tc>
          <w:tcPr>
            <w:tcW w:type="dxa" w:w="130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11256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Indirect Impact (people)</w:t>
            </w:r>
          </w:p>
        </w:tc>
        <w:tc>
          <w:tcPr>
            <w:tcW w:type="dxa" w:w="118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11256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Reach (people)</w:t>
            </w:r>
          </w:p>
        </w:tc>
        <w:tc>
          <w:tcPr>
            <w:tcW w:type="dxa" w:w="118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11256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Income/ Revenue (USD)</w:t>
            </w:r>
          </w:p>
        </w:tc>
        <w:tc>
          <w:tcPr>
            <w:tcW w:type="dxa" w:w="115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11256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Profit/ Surplus (USD)</w:t>
            </w:r>
          </w:p>
        </w:tc>
        <w:tc>
          <w:tcPr>
            <w:tcW w:type="dxa" w:w="122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11256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Planet Impact</w:t>
            </w:r>
          </w:p>
        </w:tc>
        <w:tc>
          <w:tcPr>
            <w:tcW w:type="dxa" w:w="1586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11256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Projections (next 12 months)</w:t>
            </w:r>
          </w:p>
        </w:tc>
      </w:tr>
      <w:tr>
        <w:tc>
          <w:tcPr>
            <w:tcW w:type="dxa" w:w="131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EFE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11256A"/>
                <w:sz w:val="18"/>
                <w:szCs w:val="18"/>
              </w:rPr>
              <w:t xml:space="preserve">Decode: Veritas</w:t>
            </w:r>
          </w:p>
        </w:tc>
        <w:tc>
          <w:tcPr>
            <w:tcW w:type="dxa" w:w="154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students improved media-literacy scores by 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[X]%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(pre/post test)</w:t>
            </w:r>
          </w:p>
        </w:tc>
        <w:tc>
          <w:tcPr>
            <w:tcW w:type="dxa" w:w="130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family members of trained students</w:t>
            </w:r>
          </w:p>
        </w:tc>
        <w:tc>
          <w:tcPr>
            <w:tcW w:type="dxa" w:w="118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people via school talks &amp; campaigns</w:t>
            </w:r>
          </w:p>
        </w:tc>
        <w:tc>
          <w:tcPr>
            <w:tcW w:type="dxa" w:w="118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$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school programme fees</w:t>
            </w:r>
          </w:p>
        </w:tc>
        <w:tc>
          <w:tcPr>
            <w:tcW w:type="dxa" w:w="115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$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</w:p>
        </w:tc>
        <w:tc>
          <w:tcPr>
            <w:tcW w:type="dxa" w:w="122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N/A</w:t>
            </w:r>
          </w:p>
        </w:tc>
        <w:tc>
          <w:tcPr>
            <w:tcW w:type="dxa" w:w="1586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Expand to 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schools by 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[month year]</w:t>
            </w:r>
          </w:p>
        </w:tc>
      </w:tr>
      <w:tr>
        <w:tc>
          <w:tcPr>
            <w:tcW w:type="dxa" w:w="131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E7F1F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11256A"/>
                <w:sz w:val="18"/>
                <w:szCs w:val="18"/>
              </w:rPr>
              <w:t xml:space="preserve">Fliq</w:t>
            </w:r>
          </w:p>
        </w:tc>
        <w:tc>
          <w:tcPr>
            <w:tcW w:type="dxa" w:w="154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beta readers improved news-comprehension scores by 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[X]%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(in-app pre/post)</w:t>
            </w:r>
          </w:p>
        </w:tc>
        <w:tc>
          <w:tcPr>
            <w:tcW w:type="dxa" w:w="130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household members of measured readers</w:t>
            </w:r>
          </w:p>
        </w:tc>
        <w:tc>
          <w:tcPr>
            <w:tcW w:type="dxa" w:w="118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downloads, waitlist &amp; media exposure</w:t>
            </w:r>
          </w:p>
        </w:tc>
        <w:tc>
          <w:tcPr>
            <w:tcW w:type="dxa" w:w="118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$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subscriptions + grants</w:t>
            </w:r>
          </w:p>
        </w:tc>
        <w:tc>
          <w:tcPr>
            <w:tcW w:type="dxa" w:w="115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$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</w:p>
        </w:tc>
        <w:tc>
          <w:tcPr>
            <w:tcW w:type="dxa" w:w="122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N/A</w:t>
            </w:r>
          </w:p>
        </w:tc>
        <w:tc>
          <w:tcPr>
            <w:tcW w:type="dxa" w:w="1586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paying users by 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[month year]</w:t>
            </w:r>
          </w:p>
        </w:tc>
      </w:tr>
      <w:tr>
        <w:tc>
          <w:tcPr>
            <w:tcW w:type="dxa" w:w="131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11256A"/>
                <w:sz w:val="18"/>
                <w:szCs w:val="18"/>
              </w:rPr>
              <w:t xml:space="preserve">Other Projects</w:t>
            </w:r>
          </w:p>
        </w:tc>
        <w:tc>
          <w:tcPr>
            <w:tcW w:type="dxa" w:w="154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people</w:t>
            </w:r>
          </w:p>
        </w:tc>
        <w:tc>
          <w:tcPr>
            <w:tcW w:type="dxa" w:w="130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people</w:t>
            </w:r>
          </w:p>
        </w:tc>
        <w:tc>
          <w:tcPr>
            <w:tcW w:type="dxa" w:w="118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people</w:t>
            </w:r>
          </w:p>
        </w:tc>
        <w:tc>
          <w:tcPr>
            <w:tcW w:type="dxa" w:w="118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$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</w:p>
        </w:tc>
        <w:tc>
          <w:tcPr>
            <w:tcW w:type="dxa" w:w="115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$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</w:p>
        </w:tc>
        <w:tc>
          <w:tcPr>
            <w:tcW w:type="dxa" w:w="122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N/A</w:t>
            </w:r>
          </w:p>
        </w:tc>
        <w:tc>
          <w:tcPr>
            <w:tcW w:type="dxa" w:w="1586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1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80008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4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EFE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b/>
                <w:bCs/>
                <w:color w:val="352E4A"/>
                <w:sz w:val="18"/>
                <w:szCs w:val="18"/>
              </w:rPr>
              <w:t xml:space="preserve"> people</w:t>
            </w:r>
          </w:p>
        </w:tc>
        <w:tc>
          <w:tcPr>
            <w:tcW w:type="dxa" w:w="130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EFE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b/>
                <w:bCs/>
                <w:color w:val="352E4A"/>
                <w:sz w:val="18"/>
                <w:szCs w:val="18"/>
              </w:rPr>
              <w:t xml:space="preserve"> people</w:t>
            </w:r>
          </w:p>
        </w:tc>
        <w:tc>
          <w:tcPr>
            <w:tcW w:type="dxa" w:w="118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EFE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b/>
                <w:bCs/>
                <w:color w:val="352E4A"/>
                <w:sz w:val="18"/>
                <w:szCs w:val="18"/>
              </w:rPr>
              <w:t xml:space="preserve"> people</w:t>
            </w:r>
          </w:p>
        </w:tc>
        <w:tc>
          <w:tcPr>
            <w:tcW w:type="dxa" w:w="118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EFE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352E4A"/>
                <w:sz w:val="18"/>
                <w:szCs w:val="18"/>
              </w:rPr>
              <w:t xml:space="preserve">$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</w:p>
        </w:tc>
        <w:tc>
          <w:tcPr>
            <w:tcW w:type="dxa" w:w="115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EFE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352E4A"/>
                <w:sz w:val="18"/>
                <w:szCs w:val="18"/>
              </w:rPr>
              <w:t xml:space="preserve">$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</w:p>
        </w:tc>
        <w:tc>
          <w:tcPr>
            <w:tcW w:type="dxa" w:w="122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EFE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EFE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/>
            </w:r>
          </w:p>
        </w:tc>
      </w:tr>
    </w:tbl>
    <w:p>
      <w:pPr>
        <w:shd w:fill="EFE9FF" w:val="clear"/>
        <w:spacing w:after="100" w:before="160"/>
      </w:pPr>
      <w:r>
        <w:rPr>
          <w:rFonts w:ascii="Space Grotesk" w:cs="Space Grotesk" w:eastAsia="Space Grotesk" w:hAnsi="Space Grotesk"/>
          <w:b/>
          <w:bCs/>
          <w:color w:val="11256A"/>
          <w:sz w:val="22"/>
          <w:szCs w:val="22"/>
        </w:rPr>
        <w:t xml:space="preserve">  Impact Measurement 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4400"/>
        <w:gridCol w:w="4400"/>
      </w:tblGrid>
      <w:tr>
        <w:trPr>
          <w:tblHeader/>
        </w:trPr>
        <w:tc>
          <w:tcPr>
            <w:tcW w:type="dxa" w:w="1666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11256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11256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Decode: Veritas</w:t>
            </w:r>
          </w:p>
        </w:tc>
        <w:tc>
          <w:tcPr>
            <w:tcW w:type="dxa" w:w="440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11256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8"/>
                <w:szCs w:val="18"/>
              </w:rPr>
              <w:t xml:space="preserve">Fliq</w:t>
            </w:r>
          </w:p>
        </w:tc>
      </w:tr>
      <w:tr>
        <w:tc>
          <w:tcPr>
            <w:tcW w:type="dxa" w:w="1666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EFE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11256A"/>
                <w:sz w:val="18"/>
                <w:szCs w:val="18"/>
              </w:rPr>
              <w:t xml:space="preserve">Tools &amp; Methods</w:t>
            </w:r>
          </w:p>
        </w:tc>
        <w:tc>
          <w:tcPr>
            <w:tcW w:type="dxa" w:w="440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– Direct impact: identical media-literacy test before the first and after the final workshop; attendance registers per session.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– Reach: school assembly headcounts and campaign sign-in sheets.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– Income: school programme invoices and receipts.</w:t>
            </w:r>
          </w:p>
        </w:tc>
        <w:tc>
          <w:tcPr>
            <w:tcW w:type="dxa" w:w="440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– Direct impact: in-app news-comprehension quiz at onboarding, repeated at 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[4–8]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weeks; only readers who completed both are counted.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– Reach: app-store download counts, waitlist entries, media coverage.</w:t>
            </w:r>
          </w:p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– Income: subscription statements; grant award letters.</w:t>
            </w:r>
          </w:p>
        </w:tc>
      </w:tr>
      <w:tr>
        <w:tc>
          <w:tcPr>
            <w:tcW w:type="dxa" w:w="1666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EFE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11256A"/>
                <w:sz w:val="18"/>
                <w:szCs w:val="18"/>
              </w:rPr>
              <w:t xml:space="preserve">Time period &amp; Sample</w:t>
            </w:r>
          </w:p>
        </w:tc>
        <w:tc>
          <w:tcPr>
            <w:tcW w:type="dxa" w:w="440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AFA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Workshops run 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[Sep 2026 – May 2027]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. All 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participants across 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schools tested pre and post; 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completed both tests.</w:t>
            </w:r>
          </w:p>
        </w:tc>
        <w:tc>
          <w:tcPr>
            <w:tcW w:type="dxa" w:w="440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AFA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Public beta live from 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[month 2026]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. Of 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onboarded readers, 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[N]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completed the follow-up quiz (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[X]%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response rate).</w:t>
            </w:r>
          </w:p>
        </w:tc>
      </w:tr>
      <w:tr>
        <w:tc>
          <w:tcPr>
            <w:tcW w:type="dxa" w:w="1666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EFE9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b/>
                <w:bCs/>
                <w:color w:val="11256A"/>
                <w:sz w:val="18"/>
                <w:szCs w:val="18"/>
              </w:rPr>
              <w:t xml:space="preserve">Estimates &amp; Assumptions</w:t>
            </w:r>
          </w:p>
        </w:tc>
        <w:tc>
          <w:tcPr>
            <w:tcW w:type="dxa" w:w="440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Indirect impact assumes each trained student shares learning with 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[2]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family members, per exit-survey self-reports.</w:t>
            </w:r>
          </w:p>
        </w:tc>
        <w:tc>
          <w:tcPr>
            <w:tcW w:type="dxa" w:w="4400"/>
            <w:tcBorders>
              <w:top w:val="single" w:color="D8D0E8" w:sz="4"/>
              <w:left w:val="single" w:color="D8D0E8" w:sz="4"/>
              <w:bottom w:val="single" w:color="D8D0E8" w:sz="4"/>
              <w:right w:val="single" w:color="D8D0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Indirect impact assumes </w:t>
            </w:r>
            <w:r>
              <w:rPr>
                <w:rFonts w:ascii="Inter" w:cs="Inter" w:eastAsia="Inter" w:hAnsi="Inter"/>
                <w:b/>
                <w:bCs/>
                <w:color w:val="800080"/>
                <w:sz w:val="18"/>
                <w:szCs w:val="18"/>
              </w:rPr>
              <w:t xml:space="preserve">[1]</w:t>
            </w:r>
            <w:r>
              <w:rPr>
                <w:rFonts w:ascii="Inter" w:cs="Inter" w:eastAsia="Inter" w:hAnsi="Inter"/>
                <w:color w:val="352E4A"/>
                <w:sz w:val="18"/>
                <w:szCs w:val="18"/>
              </w:rPr>
              <w:t xml:space="preserve"> household member per measured reader, per onboarding survey. Equity investment is excluded from Income/Revenue (not sales, grant, sponsorship, or donation).</w:t>
            </w:r>
          </w:p>
        </w:tc>
      </w:tr>
    </w:tbl>
    <w:p>
      <w:pPr>
        <w:spacing w:before="100"/>
      </w:pPr>
      <w:r>
        <w:rPr>
          <w:rFonts w:ascii="Inter" w:cs="Inter" w:eastAsia="Inter" w:hAnsi="Inter"/>
          <w:b/>
          <w:bCs/>
          <w:color w:val="11256A"/>
          <w:sz w:val="18"/>
          <w:szCs w:val="18"/>
        </w:rPr>
        <w:t xml:space="preserve">Impact window: </w:t>
      </w:r>
      <w:r>
        <w:rPr>
          <w:rFonts w:ascii="Inter" w:cs="Inter" w:eastAsia="Inter" w:hAnsi="Inter"/>
          <w:b/>
          <w:bCs/>
          <w:color w:val="800080"/>
          <w:sz w:val="18"/>
          <w:szCs w:val="18"/>
        </w:rPr>
        <w:t xml:space="preserve">[1 Sep 2026 – 31 Aug 2027 — confirm exact dates with Enactus Hong Kong]</w:t>
      </w:r>
      <w:r>
        <w:rPr>
          <w:rFonts w:ascii="Inter" w:cs="Inter" w:eastAsia="Inter" w:hAnsi="Inter"/>
          <w:color w:val="6E6787"/>
          <w:sz w:val="18"/>
          <w:szCs w:val="18"/>
        </w:rPr>
        <w:t xml:space="preserve">  ·  All terms per official Enactus impact definitions.</w:t>
      </w:r>
    </w:p>
    <w:p>
      <w:pPr>
        <w:spacing w:before="40"/>
      </w:pPr>
      <w:r>
        <w:rPr>
          <w:rFonts w:ascii="Inter" w:cs="Inter" w:eastAsia="Inter" w:hAnsi="Inter"/>
          <w:i/>
          <w:iCs/>
          <w:color w:val="B03020"/>
          <w:sz w:val="18"/>
          <w:szCs w:val="18"/>
        </w:rPr>
        <w:t xml:space="preserve">INTERNAL DRAFT — every [bracket] must be replaced with a verified number from the evidence tracker before the Impact &amp; Financial Reporting Review; numbers freeze one month before the World Cup. Delete this line before printing.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52E4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2026-08-28T03:00:57.741Z</dcterms:created>
  <dcterms:modified xsi:type="dcterms:W3CDTF">2026-08-28T03:00:57.741Z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