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癌症史疼痛与抑郁症状研究阶段报告</w:t>
      </w:r>
    </w:p>
    <w:p>
      <w:r>
        <w:t>供研究讨论与论文整合使用    2026年9月7日</w:t>
      </w:r>
    </w:p>
    <w:p>
      <w:pPr>
        <w:pStyle w:val="Heading1"/>
      </w:pPr>
      <w:r>
        <w:t>研究概况与当前结论</w:t>
      </w:r>
    </w:p>
    <w:p>
      <w:pPr>
        <w:ind w:firstLine="480"/>
      </w:pPr>
      <w:r>
        <w:t>本研究采用HRS、SHARE和CHARLS纵向资料，考察癌症史与当前疼痛组合对下一轮高抑郁症状出现和持续的关联。新版HRS的四组核心分析已运行完成，56组汇总估计通过独立算术复核，核心相对风险与此前结果接近。现阶段可以据此整理报告，但尚不能将全部扩展分析和投稿材料视为已完成新版同步。</w:t>
      </w:r>
    </w:p>
    <w:p>
      <w:pPr>
        <w:ind w:firstLine="480"/>
      </w:pPr>
      <w:r>
        <w:t>工作题目为“当前疼痛与癌症史在三个老龄化队列中的抑郁症状转变”。英文工作题目为 Current pain and cancer history in depressive symptom transitions across three ageing cohorts。目标期刊仍暂定World Journal of Psychiatry或相近期刊；本次不进入投稿。</w:t>
      </w:r>
    </w:p>
    <w:p>
      <w:pPr>
        <w:pStyle w:val="Heading1"/>
      </w:pPr>
      <w:r>
        <w:t>研究目标与设计</w:t>
      </w:r>
    </w:p>
    <w:p>
      <w:pPr>
        <w:ind w:firstLine="480"/>
      </w:pPr>
      <w:r>
        <w:t>研究对象为50岁及以上人群，以连续两轮调查构成人－区间。暴露分为无癌症无疼痛、仅癌症、仅疼痛以及癌症并疼痛四组。基线未达到高症状阈值者用于分析下一轮高症状出现；基线已达阈值者用于分析症状持续。补充结局为下一轮高症状或死亡的复合不良状态。</w:t>
      </w:r>
    </w:p>
    <w:p>
      <w:pPr>
        <w:ind w:firstLine="480"/>
      </w:pPr>
      <w:r>
        <w:t>各队列分别建模，不直接合并个体记录或抽样权重。CHARLS提供中国人群的方向性验证。当前研究使用任意癌症史和当前疼痛，不应表述为消化系统癌症、癌痛或慢性疼痛特异性研究。</w:t>
      </w:r>
    </w:p>
    <w:p>
      <w:pPr>
        <w:pStyle w:val="Heading1"/>
      </w:pPr>
      <w:r>
        <w:t>本轮数据与方法更新</w:t>
      </w:r>
    </w:p>
    <w:p>
      <w:pPr>
        <w:ind w:firstLine="480"/>
      </w:pPr>
      <w:r>
        <w:t>HRS使用2012—2022年资料。2022年仅作为最后一次随访，本轮从已归档的2022 Final Core V2.0重建CES-D-8结局：八个条目全部有效时计分，六个负向条目肯定回答计1分，两个正向条目否定回答计1分，总分≥4定义高症状。新版结局缺失不回填旧分数，也不直接判为死亡。</w:t>
      </w:r>
    </w:p>
    <w:p>
      <w:pPr>
        <w:ind w:firstLine="480"/>
      </w:pPr>
      <w:r>
        <w:t>2012—2020年基线资料、设计变量和此前区间保留既有来源；2020—2022年症状随访权重重新计算。死亡标记仍来自既有RAND追踪资料，因此不能把本次升级描述为所有HRS产品均已更新到Final版本。</w:t>
      </w:r>
    </w:p>
    <w:p>
      <w:r>
        <w:br w:type="page"/>
      </w:r>
    </w:p>
    <w:p>
      <w:pPr>
        <w:pStyle w:val="Heading1"/>
      </w:pPr>
      <w:r>
        <w:t>新版HRS统计分析</w:t>
      </w:r>
    </w:p>
    <w:p>
      <w:pPr>
        <w:ind w:firstLine="480"/>
      </w:pPr>
      <w:r>
        <w:t>四组核心模型均重新生成20份插补数据并迭代50次，未沿用旧版已完成的插补值。模型采用复杂抽样quasi-Poisson回归和log链接，考虑分层、半样本及重复个体，调整年龄、性别、教育、婚姻或伴侣状况、基线抑郁症状、非癌症合并症、吸烟、财富和调查区间。汇总置信区间采用有限自由度校正，同时计算标准化绝对风险与风险差。</w:t>
      </w:r>
    </w:p>
    <w:p>
      <w:pPr>
        <w:pStyle w:val="Heading1"/>
      </w:pPr>
      <w:r>
        <w:t>症状出现</w:t>
      </w:r>
    </w:p>
    <w:p>
      <w:pPr>
        <w:ind w:firstLine="480"/>
      </w:pPr>
      <w:r>
        <w:t>纳入58,286个人－区间、19,027人，发生4,866次高症状事件。以下RR均为调整后相对风险，95%CI为95%置信区间。</w:t>
      </w:r>
    </w:p>
    <w:p>
      <w:pPr>
        <w:ind w:firstLine="480"/>
      </w:pPr>
      <w:r>
        <w:t>与无癌症无疼痛者相比，癌症并疼痛者RR为1.476（95%CI 1.281—1.700），仅疼痛者为1.481（95%CI 1.351—1.623），仅癌症者为1.085（95%CI 0.940—1.253）。</w:t>
      </w:r>
    </w:p>
    <w:p>
      <w:pPr>
        <w:ind w:firstLine="480"/>
      </w:pPr>
      <w:r>
        <w:t>仅疼痛与仅癌症的直接比较RR为1.364（95%CI 1.164—1.599）。在存活且完成症状随访的人群中，仅疼痛组的后续高症状出现风险较高；这一关联不能直接解释为疼痛的因果效应。</w:t>
      </w:r>
    </w:p>
    <w:p>
      <w:pPr>
        <w:pStyle w:val="Heading1"/>
      </w:pPr>
      <w:r>
        <w:t>症状持续</w:t>
      </w:r>
    </w:p>
    <w:p>
      <w:pPr>
        <w:ind w:firstLine="480"/>
      </w:pPr>
      <w:r>
        <w:t>纳入10,049个人－区间、5,664人，发生5,462次持续高症状事件。癌症并疼痛、仅疼痛相对无癌症无疼痛的RR分别为1.250（95%CI 1.133—1.379）和1.242（95%CI 1.155—1.335）。</w:t>
      </w:r>
    </w:p>
    <w:p>
      <w:pPr>
        <w:ind w:firstLine="480"/>
      </w:pPr>
      <w:r>
        <w:t>仅疼痛与仅癌症直接比较RR为1.083（95%CI 0.939—1.249），置信区间包含1，不能认定两组存在明确差异。症状出现与持续是不同的估计目标，不宜仅按RR大小比较关联强弱。</w:t>
      </w:r>
    </w:p>
    <w:p>
      <w:pPr>
        <w:pStyle w:val="Heading1"/>
      </w:pPr>
      <w:r>
        <w:t>纳入死亡后的复合结局</w:t>
      </w:r>
    </w:p>
    <w:p>
      <w:pPr>
        <w:ind w:firstLine="480"/>
      </w:pPr>
      <w:r>
        <w:t>出现复合结局纳入61,371个人－区间、19,891人，事件7,951次；持续复合结局纳入11,078个人－区间、6,228人，事件6,491次。两者均不应称作抑郁症发生率。</w:t>
      </w:r>
    </w:p>
    <w:p>
      <w:pPr>
        <w:ind w:firstLine="480"/>
      </w:pPr>
      <w:r>
        <w:t>仅疼痛与仅癌症的直接比较，出现复合结局RR为0.944（95%CI 0.847—1.053），持续复合结局为0.983（95%CI 0.892—1.084）。均未显示明确差异。因此，“疼痛相关症状风险信号”不能推广为总体不良健康风险的优势。复合模型与症状模型的样本、权重和结局不同，其差异也不能单独归因于生存选择。</w:t>
      </w:r>
    </w:p>
    <w:p>
      <w:r>
        <w:br w:type="page"/>
      </w:r>
    </w:p>
    <w:p>
      <w:pPr>
        <w:pStyle w:val="Heading1"/>
      </w:pPr>
      <w:r>
        <w:t>结果复核与稳定性</w:t>
      </w:r>
    </w:p>
    <w:p>
      <w:pPr>
        <w:ind w:firstLine="480"/>
      </w:pPr>
      <w:r>
        <w:t>独立审核覆盖20组RR、16组绝对风险及20组风险差，共56组估计。逐插补编号、均值、组内和组间方差、总方差、有限自由度及置信区间计算均一致。相对上轮50次插补汇总，20个RR对照最大相对变化约0.432%，置信区间是否包含1的判断均未改变。由于样本、权重、插补随机种子及区间方法也发生变化，不能把全部差异解释为数据版本本身的影响。</w:t>
      </w:r>
    </w:p>
    <w:p>
      <w:pPr>
        <w:ind w:firstLine="480"/>
      </w:pPr>
      <w:r>
        <w:t>可导出的24项经典split R-hat独立复算最大为1.01488，56组估计的Monte Carlo标准误与总标准误之比最大约0.0796%。这些结果支持已导出估计的数值稳定性，但不代表所有变量均通过完整插补诊断，也不是预测性能优越的证据。</w:t>
      </w:r>
    </w:p>
    <w:p>
      <w:pPr>
        <w:pStyle w:val="Heading1"/>
      </w:pPr>
      <w:r>
        <w:t>整合论文时需保留的限制</w:t>
      </w:r>
    </w:p>
    <w:p>
      <w:pPr>
        <w:ind w:firstLine="480"/>
      </w:pPr>
      <w:r>
        <w:t>四组新版HRS样本数均不同于此前归档结果。新版核心结果不能直接与旧版功能调整、疼痛梯度、去睡眠条目、交互及其他敏感性结果混用。细分样本流程、新版扩展结果和三队列汇总尚需统一；当前报告不提供未经重新计算的新版合并效应。</w:t>
      </w:r>
    </w:p>
    <w:p>
      <w:pPr>
        <w:ind w:firstLine="480"/>
      </w:pPr>
      <w:r>
        <w:t>五项插补分布因小样本保护未导出；标准化预测越界检查保留在本地私有层；控制台15条警告的具体内容尚未核验。四个插补对象的loggedEvents均为0，不等于运行警告均无影响。绝对风险与风险差已通过算术复核，但其预测合理性仍须结合本地检查判断。</w:t>
      </w:r>
    </w:p>
    <w:p>
      <w:pPr>
        <w:ind w:firstLine="480"/>
      </w:pPr>
      <w:r>
        <w:t>SHARE官方PSU和分层设计敏感性尚未取得完整验收依据，非HRS复合分析中间层的独立重建也未关闭。既有计算完成不代表这些问题已解决。上述事项集中保留，不为完成报告而新增探索性分析，也不重复运行已经完成的HRS核心插补。</w:t>
      </w:r>
    </w:p>
    <w:p>
      <w:pPr>
        <w:pStyle w:val="Heading1"/>
      </w:pPr>
      <w:r>
        <w:t>材料保存与后续用途</w:t>
      </w:r>
    </w:p>
    <w:p>
      <w:pPr>
        <w:ind w:firstLine="480"/>
      </w:pPr>
      <w:r>
        <w:t>原始数据集中保存在项目“原始数据总库”，未被新版分析覆盖。HRS新版分析层、插补对象和模型保留在本轮LOCAL_ONLY，仅授权研究者本地使用。可交回的汇总位于final_core_update_20260907_125344下的SUMMARY_RETURN；审核记录见项目paper_design第45号及final_core_review_2026-09-07目录。</w:t>
      </w:r>
    </w:p>
    <w:p>
      <w:pPr>
        <w:ind w:firstLine="480"/>
      </w:pPr>
      <w:r>
        <w:t>本报告用于当前研究讨论与后续论文整合，不替代尚未同步的完整论文。现有公开稿为v0.9审阅版，GitHub内容本轮未更新。正式投稿前还需统一正文、表图、补充材料及作者和伦理等声明；注册队列的个体资料不得随代码仓库公开。</w:t>
      </w:r>
    </w:p>
    <w:p>
      <w:r>
        <w:t>HRS数据产品：</w:t>
      </w:r>
      <w:hyperlink r:id="rId9">
        <w:r>
          <w:rPr>
            <w:sz w:val="20"/>
          </w:rPr>
          <w:t>https://hrsdata.isr.umich.edu/data-products/2022-hrs-core</w:t>
        </w:r>
      </w:hyperlink>
    </w:p>
    <w:p>
      <w:r>
        <w:t>现有公开代码与审阅材料：</w:t>
      </w:r>
      <w:hyperlink r:id="rId10">
        <w:r>
          <w:rPr>
            <w:sz w:val="20"/>
          </w:rPr>
          <w:t>https://github.com/ZENGJingqi/Cancer-Pain-Depressive-Symptoms</w:t>
        </w:r>
      </w:hyperlink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324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4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24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rsdata.isr.umich.edu/data-products/2022-hrs-core" TargetMode="External"/><Relationship Id="rId10" Type="http://schemas.openxmlformats.org/officeDocument/2006/relationships/hyperlink" Target="https://github.com/ZENGJingqi/Cancer-Pain-Depressive-Sympto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癌症史疼痛与抑郁症状研究阶段报告</dc:title>
  <dc:subject/>
  <dc:creator>曾敬其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