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癌症史疼痛与抑郁症状研究收尾报告</w:t>
      </w:r>
    </w:p>
    <w:p>
      <w:r>
        <w:t>2026年10月1日  当前研究范围定稿</w:t>
      </w:r>
    </w:p>
    <w:p>
      <w:r>
        <w:t>本研究停止追加分析，按已验收的结果收尾。新版HRS核心模型、24项扩展及绝对风险修正均已完成；本轮统一三队列结果来源、重新计算汇总效应并更新表图，没有再次读取个体数据、拟合模型或插补。SHARE官方PSU和分层敏感性按本次决定不再开展，不能写成已通过。</w:t>
      </w:r>
    </w:p>
    <w:p>
      <w:pPr>
        <w:pStyle w:val="Heading1"/>
      </w:pPr>
      <w:r>
        <w:t>研究问题与主要结果</w:t>
      </w:r>
    </w:p>
    <w:p>
      <w:r>
        <w:t>研究对象为HRS、SHARE和CHARLS中50岁及以上成年人。将癌症史与当前疼痛组合为四类，分别研究基线低症状人群下一轮高抑郁症状出现，以及基线高症状人群下一轮症状持续。研究不是消化系统癌症专题，也不是临床抑郁诊断或预测模型。</w:t>
      </w:r>
    </w:p>
    <w:p>
      <w:r>
        <w:t>症状出现分析纳入141,599个人区间，发生19,898次高症状结局；持续分析纳入43,192个人区间，发生24,529次持续结局。癌症并疼痛相对两者均无的汇总RR，出现为1.42 (1.17-1.72)，持续为1.22 (1.04-1.42)。仅疼痛相对两者均无的关联亦为正向。</w:t>
      </w:r>
    </w:p>
    <w:p>
      <w:r>
        <w:t>最稳妥的判断是：在存活并完成随访的人群中，当前疼痛能够补充癌症史所未体现的后续心理症状负担信息。但仅疼痛与仅癌症的直接比较并非处处一致；加入死亡后，HRS和SHARE的直接比较接近1，不能据此形成总体健康风险高低排序。</w:t>
      </w:r>
    </w:p>
    <w:p>
      <w:pPr>
        <w:pStyle w:val="Heading1"/>
      </w:pPr>
      <w:r>
        <w:t>已经完成并固定的内容</w:t>
      </w:r>
    </w:p>
    <w:p>
      <w:r>
        <w:t>HRS 2022 Final Core更新仅涉及最后一轮随访症状结局；此前基线层与早期区间保留既有来源，死亡仍来自既有RAND，不称最新Final Tracker。四组症状与复合核心分析均已验收。</w:t>
      </w:r>
    </w:p>
    <w:p>
      <w:r>
        <w:t>HRS新版24项扩展已完成；SHARE和CHARLS四组复合结局来源重建核对通过。多重插补延长与有限自由度核查不再重复运行。</w:t>
      </w:r>
    </w:p>
    <w:p>
      <w:r>
        <w:t>HRS绝对风险采用复杂抽样logistic标准化，复用同一冻结的20份完成数据。16项风险和20项风险差已独立复算通过，概率及区间均在合法范围内。该修正由QA触发，方法中明确为事后修正，主RR仍是modified Poisson结果。</w:t>
      </w:r>
    </w:p>
    <w:p>
      <w:r>
        <w:t>三队列60项RR及12组样本计数统一到当前汇总入口，主症状结局八项REML加Hartung-Knapp汇总重新生成。五幅图由R输出并检查，旧版HRS风险和旧样本图不再作为当前证据。</w:t>
      </w:r>
    </w:p>
    <w:p>
      <w:pPr>
        <w:pStyle w:val="Heading1"/>
      </w:pPr>
      <w:r>
        <w:t>不能写成完成或通过的事项</w:t>
      </w:r>
    </w:p>
    <w:p>
      <w:r>
        <w:t>SHARE官方PSU及分层敏感性未做。现有模型采用国家分层、家庭首级聚类，与官方设计的方差可能不同，保留为明确局限，不再列为等待用户运行的任务。</w:t>
      </w:r>
    </w:p>
    <w:p>
      <w:r>
        <w:t>部分受抑制插补分布、原核心私有警告和细分样本流程未完成全面审核。这不否定已验收汇总，但不允许声称完整诊断全部通过。</w:t>
      </w:r>
    </w:p>
    <w:p>
      <w:r>
        <w:t>最终表1目前为模型样本数，不沿用已过期的HRS基线描述均值；本轮没有从个体层重制完整基线特征表和全纳排流程。三队列绝对风险未统一刷新，因此当前正文只保留HRS已验收绝对风险。</w:t>
      </w:r>
    </w:p>
    <w:p>
      <w:r>
        <w:t>作者信息、基金和本单位二次数据研究伦理认定等投稿字段仍需本人确认。当前定稿是研究范围和结果冻结版，不是已满足全部投稿条件的声明。</w:t>
      </w:r>
    </w:p>
    <w:p>
      <w:pPr>
        <w:pStyle w:val="Heading1"/>
      </w:pPr>
      <w:r>
        <w:t>数据代码与历史材料在哪里</w:t>
      </w:r>
    </w:p>
    <w:p>
      <w:r>
        <w:t>原始数据仍在项目原始数据总库，仅保留规范原件，不复制、不覆盖。加工个体层、插补对象及私有日志保留既有本地路径，本次只整理位置和版本，不放入公开材料。给学生的材料独立保留。</w:t>
      </w:r>
    </w:p>
    <w:p>
      <w:r>
        <w:t>最终材料/2026-10-01内包含本报告、内容定稿Word、可读正文、当前结果CSV、五幅图、来源指纹及选定代码。过期稿件与旧公开材料按历史日期归档；旧研究记录作为当时状态留存，阅读当前情况以本报告为准。</w:t>
      </w:r>
    </w:p>
    <w:p>
      <w:r>
        <w:t>GitHub仅更新白名单正文、无个体记录的汇总结果、表图和参考代码。公开复现从汇总结果开始，不声称一键从原始数据完整重跑；不上传原始压缩包、个体加工数据、模型对象、插补对象或私有日志。</w:t>
      </w:r>
    </w:p>
    <w:p>
      <w:hyperlink r:id="rId9">
        <w:r>
          <w:t>公开代码及汇总材料 https://github.com/ZENGJingqi/Cancer-Pain-Depressive-Symptoms</w:t>
        </w:r>
      </w:hyperlink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SimSun" w:hAnsi="SimSu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SimSun" w:hAnsi="SimSun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SimSun" w:hAnsi="SimSu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SimSun" w:hAnsi="SimSun" w:eastAsia="宋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SimSun" w:hAnsi="SimSun" w:eastAsia="宋体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ZENGJingqi/Cancer-Pain-Depressive-Sympto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ZENGJingqi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