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F91B7E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地理信息时空智能业务与前沿技术调研报告</w:t>
      </w:r>
    </w:p>
    <w:p w14:paraId="65B1BBF7">
      <w:pPr>
        <w:spacing w:before="320" w:after="120" w:line="288" w:lineRule="auto"/>
        <w:ind w:left="0"/>
        <w:jc w:val="left"/>
        <w:outlineLvl w:val="1"/>
      </w:pPr>
      <w:bookmarkStart w:id="0" w:name="heading_0"/>
      <w:r>
        <w:rPr>
          <w:rFonts w:ascii="Arial" w:hAnsi="Arial" w:eastAsia="等线" w:cs="Arial"/>
          <w:b/>
          <w:sz w:val="32"/>
        </w:rPr>
        <w:t>摘要</w:t>
      </w:r>
      <w:bookmarkEnd w:id="0"/>
    </w:p>
    <w:p w14:paraId="69FD506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时空智能是地理信息产业向智能化升级的核心技术方向，广泛支撑城市交通管控、公共安全应急、自然资源监测等核心业务。本文从业务场景与前沿技术两大维度展开调研：第一部分深入分析人流 / 客流时空预测、时空异常检测两类核心 GIS 业务，梳理地理信息技术的应用路径与量化需求指标；第二部分系统梳理近三年时空智能领域的技术演进，重点对比 GNN、Transformer 两类架构的融合范式，结合 STGCN、AGFormer、Spacetimeformer 等标杆模型分析其 GIS 场景适配性，同时总结多模态时空融合、无监督异常检测的技术路线与落地价值。报告旨在为地理信息领域时空智能技术选型与场景落地提供参考。</w:t>
      </w:r>
    </w:p>
    <w:p w14:paraId="5CB0EBC6">
      <w:pPr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b/>
          <w:sz w:val="32"/>
        </w:rPr>
        <w:t>一、地理信息核心业务场景研究</w:t>
      </w:r>
      <w:bookmarkEnd w:id="1"/>
    </w:p>
    <w:p w14:paraId="35203041">
      <w:pPr>
        <w:spacing w:before="300" w:after="120" w:line="288" w:lineRule="auto"/>
        <w:ind w:left="0"/>
        <w:jc w:val="left"/>
        <w:outlineLvl w:val="2"/>
      </w:pPr>
      <w:bookmarkStart w:id="2" w:name="heading_2"/>
      <w:r>
        <w:rPr>
          <w:rFonts w:ascii="Arial" w:hAnsi="Arial" w:eastAsia="等线" w:cs="Arial"/>
          <w:b/>
          <w:sz w:val="30"/>
        </w:rPr>
        <w:t>1.1 地理信息时空业务概述</w:t>
      </w:r>
      <w:bookmarkEnd w:id="2"/>
    </w:p>
    <w:p w14:paraId="4F78E6E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地理信息系统天然承载海量带空间坐标的时序数据，包括路网矢量、站点监测、人群轨迹、遥感栅格等，核心特征是</w:t>
      </w:r>
      <w:r>
        <w:rPr>
          <w:rFonts w:ascii="Arial" w:hAnsi="Arial" w:eastAsia="等线" w:cs="Arial"/>
          <w:b/>
          <w:sz w:val="22"/>
        </w:rPr>
        <w:t>空间拓扑关联与时间动态演化深度耦合</w:t>
      </w:r>
      <w:r>
        <w:rPr>
          <w:rFonts w:ascii="Arial" w:hAnsi="Arial" w:eastAsia="等线" w:cs="Arial"/>
          <w:sz w:val="22"/>
        </w:rPr>
        <w:t>。传统业务多依赖统计规则与人工研判，无法同时捕捉空间联动与时序变化规律，难以支撑精细化治理需求。当前城市运行、应急防灾、交通管控等领域的需求升级，倒逼地理信息业务从 “静态空间展示” 向 “动态时空预测” 转型，时空预测与异常检测已成为 GIS 智能化的核心能力。</w:t>
      </w:r>
    </w:p>
    <w:p w14:paraId="0A596167">
      <w:pPr>
        <w:spacing w:before="300" w:after="120" w:line="288" w:lineRule="auto"/>
        <w:ind w:left="0"/>
        <w:jc w:val="left"/>
        <w:outlineLvl w:val="2"/>
      </w:pPr>
      <w:bookmarkStart w:id="3" w:name="heading_3"/>
      <w:r>
        <w:rPr>
          <w:rFonts w:ascii="Arial" w:hAnsi="Arial" w:eastAsia="等线" w:cs="Arial"/>
          <w:b/>
          <w:sz w:val="30"/>
        </w:rPr>
        <w:t>1.2 核心业务一：人流 / 客流时空预测</w:t>
      </w:r>
      <w:bookmarkEnd w:id="3"/>
    </w:p>
    <w:p w14:paraId="4586F63A">
      <w:pPr>
        <w:spacing w:before="260" w:after="120" w:line="288" w:lineRule="auto"/>
        <w:ind w:left="0"/>
        <w:jc w:val="left"/>
        <w:outlineLvl w:val="3"/>
      </w:pPr>
      <w:bookmarkStart w:id="4" w:name="heading_4"/>
      <w:r>
        <w:rPr>
          <w:rFonts w:ascii="Arial" w:hAnsi="Arial" w:eastAsia="等线" w:cs="Arial"/>
          <w:b/>
          <w:sz w:val="28"/>
        </w:rPr>
        <w:t>1.2.1 地理信息技术的应用支撑</w:t>
      </w:r>
      <w:bookmarkEnd w:id="4"/>
    </w:p>
    <w:p w14:paraId="57D19B6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人流 / 客流预测是地理信息最成熟的时空业务场景，GIS 技术的核心作用是注入空间先验，提升预测的物理合理性与精度：</w:t>
      </w:r>
    </w:p>
    <w:p w14:paraId="2A021EBD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空间拓扑建模</w:t>
      </w:r>
      <w:r>
        <w:rPr>
          <w:rFonts w:ascii="Arial" w:hAnsi="Arial" w:eastAsia="等线" w:cs="Arial"/>
          <w:sz w:val="22"/>
        </w:rPr>
        <w:t>：将道路、地铁站点、商圈出入口抽象为图节点，基于 GIS 路网连通性、地理距离构建节点邻接关系，替代人工规则匹配，精准刻画路段、站点之间的客流传导关系。</w:t>
      </w:r>
    </w:p>
    <w:p w14:paraId="4065286F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功能属性增强</w:t>
      </w:r>
      <w:r>
        <w:rPr>
          <w:rFonts w:ascii="Arial" w:hAnsi="Arial" w:eastAsia="等线" w:cs="Arial"/>
          <w:sz w:val="22"/>
        </w:rPr>
        <w:t>：叠加 POI 点位、土地利用规划等地理数据，注入商圈、居住区、交通枢纽等功能区属性，辅助模型区分工作日通勤、周末休闲等不同客流模式。</w:t>
      </w:r>
    </w:p>
    <w:p w14:paraId="77BA6197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多尺度空间适配</w:t>
      </w:r>
      <w:r>
        <w:rPr>
          <w:rFonts w:ascii="Arial" w:hAnsi="Arial" w:eastAsia="等线" w:cs="Arial"/>
          <w:sz w:val="22"/>
        </w:rPr>
        <w:t>：支持路段级、站点级、500 米网格级等不同粒度的地理单元预测，匹配市级、区级、点位级不同层级的管理需求。</w:t>
      </w:r>
    </w:p>
    <w:p w14:paraId="0752FD78">
      <w:pPr>
        <w:spacing w:before="260" w:after="120" w:line="288" w:lineRule="auto"/>
        <w:ind w:left="0"/>
        <w:jc w:val="left"/>
        <w:outlineLvl w:val="3"/>
      </w:pPr>
      <w:bookmarkStart w:id="5" w:name="heading_5"/>
      <w:r>
        <w:rPr>
          <w:rFonts w:ascii="Arial" w:hAnsi="Arial" w:eastAsia="等线" w:cs="Arial"/>
          <w:b/>
          <w:sz w:val="28"/>
        </w:rPr>
        <w:t>1.2.2 典型落地场景</w:t>
      </w:r>
      <w:bookmarkEnd w:id="5"/>
    </w:p>
    <w:p w14:paraId="761BC64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一是</w:t>
      </w:r>
      <w:r>
        <w:rPr>
          <w:rFonts w:ascii="Arial" w:hAnsi="Arial" w:eastAsia="等线" w:cs="Arial"/>
          <w:b/>
          <w:sz w:val="22"/>
        </w:rPr>
        <w:t>城市道路交通流量预测</w:t>
      </w:r>
      <w:r>
        <w:rPr>
          <w:rFonts w:ascii="Arial" w:hAnsi="Arial" w:eastAsia="等线" w:cs="Arial"/>
          <w:sz w:val="22"/>
        </w:rPr>
        <w:t>，服务交管部门拥堵疏导、信号配时优化，基于城市路网矢量数据实现全路段级的车速、流量预测；二是</w:t>
      </w:r>
      <w:r>
        <w:rPr>
          <w:rFonts w:ascii="Arial" w:hAnsi="Arial" w:eastAsia="等线" w:cs="Arial"/>
          <w:b/>
          <w:sz w:val="22"/>
        </w:rPr>
        <w:t>轨道交通客流预测</w:t>
      </w:r>
      <w:r>
        <w:rPr>
          <w:rFonts w:ascii="Arial" w:hAnsi="Arial" w:eastAsia="等线" w:cs="Arial"/>
          <w:sz w:val="22"/>
        </w:rPr>
        <w:t>，服务地铁运营运力调度，结合站点 GIS 位置与周边功能区属性，预判早晚高峰进出站客流规模；三是</w:t>
      </w:r>
      <w:r>
        <w:rPr>
          <w:rFonts w:ascii="Arial" w:hAnsi="Arial" w:eastAsia="等线" w:cs="Arial"/>
          <w:b/>
          <w:sz w:val="22"/>
        </w:rPr>
        <w:t>商圈景区人流推演</w:t>
      </w:r>
      <w:r>
        <w:rPr>
          <w:rFonts w:ascii="Arial" w:hAnsi="Arial" w:eastAsia="等线" w:cs="Arial"/>
          <w:sz w:val="22"/>
        </w:rPr>
        <w:t>，服务商业运营与大型活动安保，结合场地空间布局、出入口分布，预判人流聚集趋势与疏散路径。</w:t>
      </w:r>
    </w:p>
    <w:p w14:paraId="611C48C8">
      <w:pPr>
        <w:spacing w:before="260" w:after="120" w:line="288" w:lineRule="auto"/>
        <w:ind w:left="0"/>
        <w:jc w:val="left"/>
        <w:outlineLvl w:val="3"/>
      </w:pPr>
      <w:bookmarkStart w:id="6" w:name="heading_6"/>
      <w:r>
        <w:rPr>
          <w:rFonts w:ascii="Arial" w:hAnsi="Arial" w:eastAsia="等线" w:cs="Arial"/>
          <w:b/>
          <w:sz w:val="28"/>
        </w:rPr>
        <w:t>1.2.3 量化业务需求指标</w:t>
      </w:r>
      <w:bookmarkEnd w:id="6"/>
    </w:p>
    <w:p w14:paraId="6472D67E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预测精度指标</w:t>
      </w:r>
      <w:r>
        <w:rPr>
          <w:rFonts w:ascii="Arial" w:hAnsi="Arial" w:eastAsia="等线" w:cs="Arial"/>
          <w:sz w:val="22"/>
        </w:rPr>
        <w:t>：核心采用平均绝对误差（MAE）、均方根误差（RMSE）、平均绝对百分比误差（MAPE）；业务要求高峰时段 MAPE≤10%，平峰时段≤8%；节假日、恶劣天气等特殊场景下，精度衰减幅度不超过 15%。</w:t>
      </w:r>
    </w:p>
    <w:p w14:paraId="5FFDDA20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响应时效指标</w:t>
      </w:r>
      <w:r>
        <w:rPr>
          <w:rFonts w:ascii="Arial" w:hAnsi="Arial" w:eastAsia="等线" w:cs="Arial"/>
          <w:sz w:val="22"/>
        </w:rPr>
        <w:t>：实时预测推理延迟≤500ms，满足交管、安保的实时管控调度需求；离线模型迭代更新周期≤24 小时，及时适配客流模式变化。</w:t>
      </w:r>
    </w:p>
    <w:p w14:paraId="2186D789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空间泛化指标</w:t>
      </w:r>
      <w:r>
        <w:rPr>
          <w:rFonts w:ascii="Arial" w:hAnsi="Arial" w:eastAsia="等线" w:cs="Arial"/>
          <w:sz w:val="22"/>
        </w:rPr>
        <w:t>：新增道路、站点无需全量重训，仅需 10% 以内的本地样本即可达到可用精度，降低新区域冷启动的数据与时间成本。</w:t>
      </w:r>
    </w:p>
    <w:p w14:paraId="2FD6F6CB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稳定性指标</w:t>
      </w:r>
      <w:r>
        <w:rPr>
          <w:rFonts w:ascii="Arial" w:hAnsi="Arial" w:eastAsia="等线" w:cs="Arial"/>
          <w:sz w:val="22"/>
        </w:rPr>
        <w:t>：连续 7 天预测结果波动幅度≤5%，避免数值跳变干扰业务决策。</w:t>
      </w:r>
    </w:p>
    <w:p w14:paraId="458B2751">
      <w:pPr>
        <w:spacing w:before="300" w:after="120" w:line="288" w:lineRule="auto"/>
        <w:ind w:left="0"/>
        <w:jc w:val="left"/>
        <w:outlineLvl w:val="2"/>
      </w:pPr>
      <w:bookmarkStart w:id="7" w:name="heading_7"/>
      <w:r>
        <w:rPr>
          <w:rFonts w:ascii="Arial" w:hAnsi="Arial" w:eastAsia="等线" w:cs="Arial"/>
          <w:b/>
          <w:sz w:val="30"/>
        </w:rPr>
        <w:t>1.3 核心业务二：时空异常检测</w:t>
      </w:r>
      <w:bookmarkEnd w:id="7"/>
    </w:p>
    <w:p w14:paraId="5D9264BD">
      <w:pPr>
        <w:spacing w:before="260" w:after="120" w:line="288" w:lineRule="auto"/>
        <w:ind w:left="0"/>
        <w:jc w:val="left"/>
        <w:outlineLvl w:val="3"/>
      </w:pPr>
      <w:bookmarkStart w:id="8" w:name="heading_8"/>
      <w:r>
        <w:rPr>
          <w:rFonts w:ascii="Arial" w:hAnsi="Arial" w:eastAsia="等线" w:cs="Arial"/>
          <w:b/>
          <w:sz w:val="28"/>
        </w:rPr>
        <w:t>1.3.1 地理信息技术的应用支撑</w:t>
      </w:r>
      <w:bookmarkEnd w:id="8"/>
    </w:p>
    <w:p w14:paraId="2C3884F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时空异常检测的核心是识别偏离正常模式的时空事件，GIS 技术为检测提供空间约束与可视化支撑：</w:t>
      </w:r>
    </w:p>
    <w:p w14:paraId="4EE67FD0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空间邻接约束</w:t>
      </w:r>
      <w:r>
        <w:rPr>
          <w:rFonts w:ascii="Arial" w:hAnsi="Arial" w:eastAsia="等线" w:cs="Arial"/>
          <w:sz w:val="22"/>
        </w:rPr>
        <w:t>：基于 GIS 地理邻接关系判定异常扩散范围，排除孤立噪点，避免单传感器波动引发误报。</w:t>
      </w:r>
    </w:p>
    <w:p w14:paraId="3EB3A334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地理要素关联</w:t>
      </w:r>
      <w:r>
        <w:rPr>
          <w:rFonts w:ascii="Arial" w:hAnsi="Arial" w:eastAsia="等线" w:cs="Arial"/>
          <w:sz w:val="22"/>
        </w:rPr>
        <w:t>：叠加危险源、避难场所、路网瓶颈等空间要素，辅助研判异常成因，支撑后续处置调度。</w:t>
      </w:r>
    </w:p>
    <w:p w14:paraId="6FEA58F6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空间可视化输出</w:t>
      </w:r>
      <w:r>
        <w:rPr>
          <w:rFonts w:ascii="Arial" w:hAnsi="Arial" w:eastAsia="等线" w:cs="Arial"/>
          <w:sz w:val="22"/>
        </w:rPr>
        <w:t>：检测结果与电子底图精准叠加，实现异常位置的直观展示与快速定位，降低一线人员使用门槛。</w:t>
      </w:r>
    </w:p>
    <w:p w14:paraId="7A87A97A">
      <w:pPr>
        <w:spacing w:before="260" w:after="120" w:line="288" w:lineRule="auto"/>
        <w:ind w:left="0"/>
        <w:jc w:val="left"/>
        <w:outlineLvl w:val="3"/>
      </w:pPr>
      <w:bookmarkStart w:id="9" w:name="heading_9"/>
      <w:r>
        <w:rPr>
          <w:rFonts w:ascii="Arial" w:hAnsi="Arial" w:eastAsia="等线" w:cs="Arial"/>
          <w:b/>
          <w:sz w:val="28"/>
        </w:rPr>
        <w:t>1.3.2 典型落地场景</w:t>
      </w:r>
      <w:bookmarkEnd w:id="9"/>
    </w:p>
    <w:p w14:paraId="57B77CD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一是</w:t>
      </w:r>
      <w:r>
        <w:rPr>
          <w:rFonts w:ascii="Arial" w:hAnsi="Arial" w:eastAsia="等线" w:cs="Arial"/>
          <w:b/>
          <w:sz w:val="22"/>
        </w:rPr>
        <w:t>道路交通异常识别</w:t>
      </w:r>
      <w:r>
        <w:rPr>
          <w:rFonts w:ascii="Arial" w:hAnsi="Arial" w:eastAsia="等线" w:cs="Arial"/>
          <w:sz w:val="22"/>
        </w:rPr>
        <w:t>，自动识别事故、突发拥堵等事件，替代人工视频巡检，提升路网管控效率；二是</w:t>
      </w:r>
      <w:r>
        <w:rPr>
          <w:rFonts w:ascii="Arial" w:hAnsi="Arial" w:eastAsia="等线" w:cs="Arial"/>
          <w:b/>
          <w:sz w:val="22"/>
        </w:rPr>
        <w:t>人群聚集异常预警</w:t>
      </w:r>
      <w:r>
        <w:rPr>
          <w:rFonts w:ascii="Arial" w:hAnsi="Arial" w:eastAsia="等线" w:cs="Arial"/>
          <w:sz w:val="22"/>
        </w:rPr>
        <w:t>，应用于大型活动、商圈景区，实时监测人员密度，对超阈值聚集提前预警，防范踩踏等安全风险；三是</w:t>
      </w:r>
      <w:r>
        <w:rPr>
          <w:rFonts w:ascii="Arial" w:hAnsi="Arial" w:eastAsia="等线" w:cs="Arial"/>
          <w:b/>
          <w:sz w:val="22"/>
        </w:rPr>
        <w:t>灾害时空异常监测</w:t>
      </w:r>
      <w:r>
        <w:rPr>
          <w:rFonts w:ascii="Arial" w:hAnsi="Arial" w:eastAsia="等线" w:cs="Arial"/>
          <w:sz w:val="22"/>
        </w:rPr>
        <w:t>，服务自然资源与应急管理部门，结合地形、水系 GIS 数据，动态监测洪涝、地质灾害的发生与扩散范围。</w:t>
      </w:r>
    </w:p>
    <w:p w14:paraId="483E8B62">
      <w:pPr>
        <w:spacing w:before="260" w:after="120" w:line="288" w:lineRule="auto"/>
        <w:ind w:left="0"/>
        <w:jc w:val="left"/>
        <w:outlineLvl w:val="3"/>
      </w:pPr>
      <w:bookmarkStart w:id="10" w:name="heading_10"/>
      <w:r>
        <w:rPr>
          <w:rFonts w:ascii="Arial" w:hAnsi="Arial" w:eastAsia="等线" w:cs="Arial"/>
          <w:b/>
          <w:sz w:val="28"/>
        </w:rPr>
        <w:t>1.3.3 量化业务需求指标</w:t>
      </w:r>
      <w:bookmarkEnd w:id="10"/>
    </w:p>
    <w:p w14:paraId="49188887"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识别效果指标</w:t>
      </w:r>
      <w:r>
        <w:rPr>
          <w:rFonts w:ascii="Arial" w:hAnsi="Arial" w:eastAsia="等线" w:cs="Arial"/>
          <w:sz w:val="22"/>
        </w:rPr>
        <w:t>：精确率≥92%，召回率≥95%；高危异常漏检率≤5%，日常场景误报率≤3%，平衡检出能力与运维成本。</w:t>
      </w:r>
    </w:p>
    <w:p w14:paraId="1A588663"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预警时效指标</w:t>
      </w:r>
      <w:r>
        <w:rPr>
          <w:rFonts w:ascii="Arial" w:hAnsi="Arial" w:eastAsia="等线" w:cs="Arial"/>
          <w:sz w:val="22"/>
        </w:rPr>
        <w:t>：异常发生到系统输出预警的延迟≤3 分钟，预留充足的应急处置时间。</w:t>
      </w:r>
    </w:p>
    <w:p w14:paraId="4A72E910"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空间定位指标</w:t>
      </w:r>
      <w:r>
        <w:rPr>
          <w:rFonts w:ascii="Arial" w:hAnsi="Arial" w:eastAsia="等线" w:cs="Arial"/>
          <w:sz w:val="22"/>
        </w:rPr>
        <w:t>：异常发生的地理范围定位误差≤100 米，满足精细化管控与处置需求。</w:t>
      </w:r>
    </w:p>
    <w:p w14:paraId="27C82760"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适配能力指标</w:t>
      </w:r>
      <w:r>
        <w:rPr>
          <w:rFonts w:ascii="Arial" w:hAnsi="Arial" w:eastAsia="等线" w:cs="Arial"/>
          <w:sz w:val="22"/>
        </w:rPr>
        <w:t>：支持跨区域迁移部署，无需大量人工标注异常样本，降低新场景落地的标注成本。</w:t>
      </w:r>
    </w:p>
    <w:p w14:paraId="50A8E84F">
      <w:pPr>
        <w:spacing w:before="300" w:after="120" w:line="288" w:lineRule="auto"/>
        <w:ind w:left="0"/>
        <w:jc w:val="left"/>
        <w:outlineLvl w:val="2"/>
      </w:pPr>
      <w:bookmarkStart w:id="11" w:name="heading_11"/>
      <w:r>
        <w:rPr>
          <w:rFonts w:ascii="Arial" w:hAnsi="Arial" w:eastAsia="等线" w:cs="Arial"/>
          <w:b/>
          <w:sz w:val="30"/>
        </w:rPr>
        <w:t>1.4 当前业务方案的共性瓶颈</w:t>
      </w:r>
      <w:bookmarkEnd w:id="11"/>
    </w:p>
    <w:p w14:paraId="4FDF6F8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现有主流方案仍存在三点核心短板：一是传统统计模型与规则引擎无法建模复杂的时空耦合关系，预测精度与异常召回率难以达到业务要求；二是强依赖人工定制规则，新场景、新区域适配周期长、成本高，冷启动困难；三是多源 GIS 数据融合深度不足，路网、POI、遥感等空间先验的价值未充分释放，特殊场景鲁棒性差。</w:t>
      </w:r>
    </w:p>
    <w:p w14:paraId="61D1150A">
      <w:pPr>
        <w:spacing w:before="320" w:after="120" w:line="288" w:lineRule="auto"/>
        <w:ind w:left="0"/>
        <w:jc w:val="left"/>
        <w:outlineLvl w:val="1"/>
      </w:pPr>
      <w:bookmarkStart w:id="12" w:name="heading_12"/>
      <w:r>
        <w:rPr>
          <w:rFonts w:ascii="Arial" w:hAnsi="Arial" w:eastAsia="等线" w:cs="Arial"/>
          <w:b/>
          <w:sz w:val="32"/>
        </w:rPr>
        <w:t>二、时空智能前沿技术调研</w:t>
      </w:r>
      <w:bookmarkEnd w:id="12"/>
    </w:p>
    <w:p w14:paraId="1B16CE2A">
      <w:pPr>
        <w:spacing w:before="300" w:after="120" w:line="288" w:lineRule="auto"/>
        <w:ind w:left="0"/>
        <w:jc w:val="left"/>
        <w:outlineLvl w:val="2"/>
      </w:pPr>
      <w:bookmarkStart w:id="13" w:name="heading_13"/>
      <w:r>
        <w:rPr>
          <w:rFonts w:ascii="Arial" w:hAnsi="Arial" w:eastAsia="等线" w:cs="Arial"/>
          <w:b/>
          <w:sz w:val="30"/>
        </w:rPr>
        <w:t>2.1 技术演进总脉络</w:t>
      </w:r>
      <w:bookmarkEnd w:id="13"/>
    </w:p>
    <w:p w14:paraId="608728F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近五年时空预测与异常检测技术经历了四代迭代：传统统计模型（ARIMA）→ CNN+RNN 深度学习 → 时空图卷积网络（ST-GNN）→ GNN 与 Transformer 融合 → 时空预训练基础模型。核心演进逻辑是逐步强化空间建模能力、打破时空信息壁垒、提升跨场景泛化能力，其中</w:t>
      </w:r>
      <w:r>
        <w:rPr>
          <w:rFonts w:ascii="Arial" w:hAnsi="Arial" w:eastAsia="等线" w:cs="Arial"/>
          <w:b/>
          <w:sz w:val="22"/>
        </w:rPr>
        <w:t>GNN 与 Transformer 的深度融合是近三年顶会研究与产业落地的主流方向</w:t>
      </w:r>
      <w:r>
        <w:rPr>
          <w:rFonts w:ascii="Arial" w:hAnsi="Arial" w:eastAsia="等线" w:cs="Arial"/>
          <w:sz w:val="22"/>
        </w:rPr>
        <w:t>。</w:t>
      </w:r>
    </w:p>
    <w:p w14:paraId="628007EA">
      <w:pPr>
        <w:spacing w:before="300" w:after="120" w:line="288" w:lineRule="auto"/>
        <w:ind w:left="0"/>
        <w:jc w:val="left"/>
        <w:outlineLvl w:val="2"/>
      </w:pPr>
      <w:bookmarkStart w:id="14" w:name="heading_14"/>
      <w:r>
        <w:rPr>
          <w:rFonts w:ascii="Arial" w:hAnsi="Arial" w:eastAsia="等线" w:cs="Arial"/>
          <w:b/>
          <w:sz w:val="30"/>
        </w:rPr>
        <w:t>2.2 技术路线一：基于 GNN 的时空建模体系</w:t>
      </w:r>
      <w:bookmarkEnd w:id="14"/>
    </w:p>
    <w:p w14:paraId="25E9270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GNN 是首个系统化适配 GIS 图结构数据的深度学习方案，核心思路是将地理实体抽象为图节点，通过图卷积传递邻域空间信息，搭配时序模块捕捉动态演化规律。</w:t>
      </w:r>
    </w:p>
    <w:p w14:paraId="35A1FE0B">
      <w:pPr>
        <w:spacing w:before="260" w:after="120" w:line="288" w:lineRule="auto"/>
        <w:ind w:left="0"/>
        <w:jc w:val="left"/>
        <w:outlineLvl w:val="3"/>
      </w:pPr>
      <w:bookmarkStart w:id="15" w:name="heading_15"/>
      <w:r>
        <w:rPr>
          <w:rFonts w:ascii="Arial" w:hAnsi="Arial" w:eastAsia="等线" w:cs="Arial"/>
          <w:b/>
          <w:sz w:val="28"/>
        </w:rPr>
        <w:t>标杆模型：STGCN</w:t>
      </w:r>
      <w:bookmarkEnd w:id="15"/>
    </w:p>
    <w:p w14:paraId="343D586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STGCN 是时空图卷积的奠基性模型，首创 “三明治” 时空卷积块架构：上下两层为门控一维时序卷积，中间层为谱域图卷积。</w:t>
      </w:r>
    </w:p>
    <w:p w14:paraId="315BAAF2">
      <w:pPr>
        <w:numPr>
          <w:ilvl w:val="0"/>
          <w:numId w:val="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GIS 适配逻辑：基于道路地理距离构建加权邻接矩阵，通过切比雪夫多项式近似的图卷积捕捉路网空间关联；时序门控卷积替代传统 LSTM 循环结构，实现全并行训练，训练效率较循环模型提升 10 倍以上。</w:t>
      </w:r>
    </w:p>
    <w:p w14:paraId="2BA677D6">
      <w:pPr>
        <w:numPr>
          <w:ilvl w:val="0"/>
          <w:numId w:val="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技术价值：首次实现全卷积时空统一建模，在加州路网、北京环路等 GIS 数据集上，精度全面超越 ARIMA、LSTM 等基线模型，成为后续时空 GNN 的基准架构。</w:t>
      </w:r>
    </w:p>
    <w:p w14:paraId="3474A5CB">
      <w:pPr>
        <w:spacing w:before="260" w:after="120" w:line="288" w:lineRule="auto"/>
        <w:ind w:left="0"/>
        <w:jc w:val="left"/>
        <w:outlineLvl w:val="3"/>
      </w:pPr>
      <w:bookmarkStart w:id="16" w:name="heading_16"/>
      <w:r>
        <w:rPr>
          <w:rFonts w:ascii="Arial" w:hAnsi="Arial" w:eastAsia="等线" w:cs="Arial"/>
          <w:b/>
          <w:sz w:val="28"/>
        </w:rPr>
        <w:t>固有局限</w:t>
      </w:r>
      <w:bookmarkEnd w:id="16"/>
    </w:p>
    <w:p w14:paraId="6090F7F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该类模型依赖静态预定义的 GIS 拓扑，无法适配事故、施工等动态变化的空间关联；时空分层串行计算，存在信息传递瓶颈，难以捕捉拥堵滞后传导这类跨时空因果关系；单数据集单场景训练，跨城市、跨区域泛化能力弱。</w:t>
      </w:r>
    </w:p>
    <w:p w14:paraId="68DB7356">
      <w:pPr>
        <w:spacing w:before="300" w:after="120" w:line="288" w:lineRule="auto"/>
        <w:ind w:left="0"/>
        <w:jc w:val="left"/>
        <w:outlineLvl w:val="2"/>
      </w:pPr>
      <w:bookmarkStart w:id="17" w:name="heading_17"/>
      <w:r>
        <w:rPr>
          <w:rFonts w:ascii="Arial" w:hAnsi="Arial" w:eastAsia="等线" w:cs="Arial"/>
          <w:b/>
          <w:sz w:val="30"/>
        </w:rPr>
        <w:t>2.3 技术路线二：GNN 与 Transformer 深度融合（调研重点）</w:t>
      </w:r>
      <w:bookmarkEnd w:id="17"/>
    </w:p>
    <w:p w14:paraId="1C8EA7C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Transformer 凭借自注意力的长程建模与全局交互能力，打破了 GNN 时空串行的瓶颈，形成三类融合范式，适配不同 GIS 业务场景。</w:t>
      </w:r>
    </w:p>
    <w:p w14:paraId="47DDE631">
      <w:pPr>
        <w:spacing w:before="260" w:after="120" w:line="288" w:lineRule="auto"/>
        <w:ind w:left="0"/>
        <w:jc w:val="left"/>
        <w:outlineLvl w:val="3"/>
      </w:pPr>
      <w:bookmarkStart w:id="18" w:name="heading_18"/>
      <w:r>
        <w:rPr>
          <w:rFonts w:ascii="Arial" w:hAnsi="Arial" w:eastAsia="等线" w:cs="Arial"/>
          <w:b/>
          <w:sz w:val="28"/>
        </w:rPr>
        <w:t>范式 1：串行融合（GNN 提特征 + Transformer 建模时序）</w:t>
      </w:r>
      <w:bookmarkEnd w:id="18"/>
    </w:p>
    <w:p w14:paraId="2D7A36C0">
      <w:pPr>
        <w:numPr>
          <w:ilvl w:val="0"/>
          <w:numId w:val="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架构逻辑：先对单时刻的地理节点用 GNN 提取空间特征，再将特征序列送入 Transformer 建模长时序依赖，代表模型为 STGformer。</w:t>
      </w:r>
    </w:p>
    <w:p w14:paraId="1ADCB075">
      <w:pPr>
        <w:numPr>
          <w:ilvl w:val="0"/>
          <w:numId w:val="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GIS 适配性：工程实现简单，可复用现有 GNN 拓扑与 Transformer 时序模块，适合拓扑稳定、时序规律复杂的中小规模路网预测。</w:t>
      </w:r>
    </w:p>
    <w:p w14:paraId="3E5CCAC8">
      <w:pPr>
        <w:numPr>
          <w:ilvl w:val="0"/>
          <w:numId w:val="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短板：空间与时序仍为分段计算，无法实现跨时间、跨节点的直接信息传导，对拥堵扩散等动态场景建模能力有限。</w:t>
      </w:r>
    </w:p>
    <w:p w14:paraId="543CAB84">
      <w:pPr>
        <w:spacing w:before="260" w:after="120" w:line="288" w:lineRule="auto"/>
        <w:ind w:left="0"/>
        <w:jc w:val="left"/>
        <w:outlineLvl w:val="3"/>
      </w:pPr>
      <w:bookmarkStart w:id="19" w:name="heading_19"/>
      <w:r>
        <w:rPr>
          <w:rFonts w:ascii="Arial" w:hAnsi="Arial" w:eastAsia="等线" w:cs="Arial"/>
          <w:b/>
          <w:sz w:val="28"/>
        </w:rPr>
        <w:t>范式 2：深度融合（图拓扑注入注意力，时空统一建模）</w:t>
      </w:r>
      <w:bookmarkEnd w:id="19"/>
    </w:p>
    <w:p w14:paraId="44E9647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核心是将 “地理节点 + 时间步” 打包为统一时空 Token，把 GIS 路网距离、拓扑关系作为注意力偏置，实现时空同步计算，是当前精度最优的技术路线。</w:t>
      </w:r>
    </w:p>
    <w:p w14:paraId="4AA26784">
      <w:pPr>
        <w:numPr>
          <w:ilvl w:val="0"/>
          <w:numId w:val="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代表模型 1：AGFormer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核心创新为自适应动态图学习与锚点稀疏注意力。无需人工预设 GIS 拓扑，可从时序数据中自动学习节点间的动态关联；通过锚点采样将全节点注意力复杂度从 O (N²) 降至线性，适配大规模路网。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GIS 落地价值：适配无明确拓扑的多传感器监测场景，可动态捕捉早晚高峰、恶劣天气下空间关联强度的变化，解决静态拓扑适配性差的痛点。</w:t>
      </w:r>
    </w:p>
    <w:p w14:paraId="33014712">
      <w:pPr>
        <w:numPr>
          <w:ilvl w:val="0"/>
          <w:numId w:val="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代表模型 2：Graphormer 系列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将路网最短路径距离作为空间偏置直接注入注意力计算，充分利用 GIS 拓扑先验，空间建模精度更优，适合路网数据完备的城市交通预测。</w:t>
      </w:r>
    </w:p>
    <w:p w14:paraId="1901F58B">
      <w:pPr>
        <w:spacing w:before="260" w:after="120" w:line="288" w:lineRule="auto"/>
        <w:ind w:left="0"/>
        <w:jc w:val="left"/>
        <w:outlineLvl w:val="3"/>
      </w:pPr>
      <w:bookmarkStart w:id="20" w:name="heading_20"/>
      <w:r>
        <w:rPr>
          <w:rFonts w:ascii="Arial" w:hAnsi="Arial" w:eastAsia="等线" w:cs="Arial"/>
          <w:b/>
          <w:sz w:val="28"/>
        </w:rPr>
        <w:t>范式 3：无图纯 Transformer（自动学习空间关联）</w:t>
      </w:r>
      <w:bookmarkEnd w:id="20"/>
    </w:p>
    <w:p w14:paraId="1EF489A7">
      <w:pPr>
        <w:numPr>
          <w:ilvl w:val="0"/>
          <w:numId w:val="2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架构逻辑：将所有地理变量按时空维度展平为独立 Token，通过全局自注意力自动挖掘空间关联，无需预定义 GIS 图结构，代表模型为 Spacetimeformer。</w:t>
      </w:r>
    </w:p>
    <w:p w14:paraId="42719B20">
      <w:pPr>
        <w:numPr>
          <w:ilvl w:val="0"/>
          <w:numId w:val="2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GIS 适配性：适合遥感栅格、多站点环境监测等无明确拓扑的时空数据，零地理先验即可完成建模，大幅降低数据预处理成本。</w:t>
      </w:r>
    </w:p>
    <w:p w14:paraId="59185CC6">
      <w:pPr>
        <w:numPr>
          <w:ilvl w:val="0"/>
          <w:numId w:val="2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短板：缺少空间归纳偏置，小样本场景下精度低于带拓扑约束的 GNN 融合方案。</w:t>
      </w:r>
    </w:p>
    <w:p w14:paraId="2B6A9A25">
      <w:pPr>
        <w:spacing w:before="260" w:after="120" w:line="288" w:lineRule="auto"/>
        <w:ind w:left="0"/>
        <w:jc w:val="left"/>
        <w:outlineLvl w:val="3"/>
      </w:pPr>
      <w:bookmarkStart w:id="21" w:name="heading_21"/>
      <w:r>
        <w:rPr>
          <w:rFonts w:ascii="Arial" w:hAnsi="Arial" w:eastAsia="等线" w:cs="Arial"/>
          <w:b/>
          <w:sz w:val="28"/>
        </w:rPr>
        <w:t>配套模块级优化</w:t>
      </w:r>
      <w:bookmarkEnd w:id="21"/>
    </w:p>
    <w:p w14:paraId="51E7681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为适配时空数据特性，Transformer 在模块层面形成了三类通用优化：一是稀疏 / 线性注意力，解决长时序、大规模路网的算力爆炸问题；二是时空专用位置编码，融合多层次周期时序特征与相对空间位置；三是时序分解门控 FFN 与自适应归一化，提升非平稳时空数据的拟合效果。</w:t>
      </w:r>
    </w:p>
    <w:p w14:paraId="75EA793F">
      <w:pPr>
        <w:spacing w:before="300" w:after="120" w:line="288" w:lineRule="auto"/>
        <w:ind w:left="0"/>
        <w:jc w:val="left"/>
        <w:outlineLvl w:val="2"/>
      </w:pPr>
      <w:bookmarkStart w:id="22" w:name="heading_22"/>
      <w:r>
        <w:rPr>
          <w:rFonts w:ascii="Arial" w:hAnsi="Arial" w:eastAsia="等线" w:cs="Arial"/>
          <w:b/>
          <w:sz w:val="30"/>
        </w:rPr>
        <w:t>2.4 技术方向三：多模态时空数据融合</w:t>
      </w:r>
      <w:bookmarkEnd w:id="22"/>
    </w:p>
    <w:p w14:paraId="426481A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GIS 场景天然具备多模态数据基础：路网矢量、遥感栅格、POI 文本、人群轨迹、气象时序。当前主流技术路线是通过跨模态注意力对齐、统一 Token 表征，将多源地理特征融入时空建模，补充物理空间先验。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其业务价值在于：提升极端天气、节假日等特殊场景的预测鲁棒性；增强异常检测的成因解释能力，辅助业务人员快速定位异常根源。</w:t>
      </w:r>
    </w:p>
    <w:p w14:paraId="2BFD7E1B">
      <w:pPr>
        <w:spacing w:before="300" w:after="120" w:line="288" w:lineRule="auto"/>
        <w:ind w:left="0"/>
        <w:jc w:val="left"/>
        <w:outlineLvl w:val="2"/>
      </w:pPr>
      <w:bookmarkStart w:id="23" w:name="heading_23"/>
      <w:r>
        <w:rPr>
          <w:rFonts w:ascii="Arial" w:hAnsi="Arial" w:eastAsia="等线" w:cs="Arial"/>
          <w:b/>
          <w:sz w:val="30"/>
        </w:rPr>
        <w:t>2.5 技术方向四：无监督时空异常检测</w:t>
      </w:r>
      <w:bookmarkEnd w:id="23"/>
    </w:p>
    <w:p w14:paraId="698FC95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GIS 业务中异常样本稀缺、标注成本高，无监督算法是产业落地的主流方向。当前形成三类核心技术路线：</w:t>
      </w:r>
    </w:p>
    <w:p w14:paraId="0FF8CDBB">
      <w:pPr>
        <w:numPr>
          <w:ilvl w:val="0"/>
          <w:numId w:val="2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重构误差法</w:t>
      </w:r>
      <w:r>
        <w:rPr>
          <w:rFonts w:ascii="Arial" w:hAnsi="Arial" w:eastAsia="等线" w:cs="Arial"/>
          <w:sz w:val="22"/>
        </w:rPr>
        <w:t>：基于自编码器、Transformer 重构正常时空模式，重构偏差超过阈值即判定为异常；</w:t>
      </w:r>
    </w:p>
    <w:p w14:paraId="455DA3FB">
      <w:pPr>
        <w:numPr>
          <w:ilvl w:val="0"/>
          <w:numId w:val="2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对比学习法</w:t>
      </w:r>
      <w:r>
        <w:rPr>
          <w:rFonts w:ascii="Arial" w:hAnsi="Arial" w:eastAsia="等线" w:cs="Arial"/>
          <w:sz w:val="22"/>
        </w:rPr>
        <w:t>：通过自监督学习正常时空的表征分布，特征偏离正常区间即识别为异常；</w:t>
      </w:r>
    </w:p>
    <w:p w14:paraId="0EB70AB3">
      <w:pPr>
        <w:numPr>
          <w:ilvl w:val="0"/>
          <w:numId w:val="2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预测残差法</w:t>
      </w:r>
      <w:r>
        <w:rPr>
          <w:rFonts w:ascii="Arial" w:hAnsi="Arial" w:eastAsia="等线" w:cs="Arial"/>
          <w:sz w:val="22"/>
        </w:rPr>
        <w:t>：结合时空预测模型，将预测值与真实值的残差作为异常判定依据。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GIS 场景下的专属优化是引入空间邻接约束修正异常评分，结合地理功能区动态调整判定阈值，进一步降低误报率。</w:t>
      </w:r>
    </w:p>
    <w:p w14:paraId="1E0FBF40">
      <w:pPr>
        <w:spacing w:before="300" w:after="120" w:line="288" w:lineRule="auto"/>
        <w:ind w:left="0"/>
        <w:jc w:val="left"/>
        <w:outlineLvl w:val="2"/>
      </w:pPr>
      <w:bookmarkStart w:id="24" w:name="heading_24"/>
      <w:r>
        <w:rPr>
          <w:rFonts w:ascii="Arial" w:hAnsi="Arial" w:eastAsia="等线" w:cs="Arial"/>
          <w:b/>
          <w:sz w:val="30"/>
        </w:rPr>
        <w:t>2.6 技术路线横向对比与 GIS 适配性总结</w:t>
      </w:r>
      <w:bookmarkEnd w:id="24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80"/>
        <w:gridCol w:w="1380"/>
        <w:gridCol w:w="1380"/>
        <w:gridCol w:w="1380"/>
        <w:gridCol w:w="1380"/>
        <w:gridCol w:w="1380"/>
      </w:tblGrid>
      <w:tr w14:paraId="1AC079F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0A85B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技术路线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EE047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空间建模能力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BAF65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长时序能力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DDEED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拓扑依赖程度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21F14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算力开销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18CC0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最优 GIS 适配场景</w:t>
            </w:r>
          </w:p>
        </w:tc>
      </w:tr>
      <w:tr w14:paraId="556B850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5DB4F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纯 GNN（STGCN）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7050B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强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85C0E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弱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46885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高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E30EF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低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62980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中小规模、拓扑稳定的常规路网预测</w:t>
            </w:r>
          </w:p>
        </w:tc>
      </w:tr>
      <w:tr w14:paraId="32623B1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B2ADC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串行 GNN+Transformer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D131C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中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727C1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强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F5CBB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高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C523C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中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D2BE5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长时序、拓扑固定的交通客流预测</w:t>
            </w:r>
          </w:p>
        </w:tc>
      </w:tr>
      <w:tr w14:paraId="2478014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12D15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深度融合（AGFormer）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F5320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强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3E281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强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DB908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中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8AC6C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中高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5EE22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动态变化的大规模路网、多源传感器监测</w:t>
            </w:r>
          </w:p>
        </w:tc>
      </w:tr>
      <w:tr w14:paraId="40CD523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26186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纯 Transformer（Spacetimeformer）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D5684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中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3735D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强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E63C4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066BE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高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801A6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无明确拓扑的遥感栅格、多变量环境监测</w:t>
            </w:r>
          </w:p>
        </w:tc>
      </w:tr>
    </w:tbl>
    <w:p w14:paraId="4D052950">
      <w:pPr>
        <w:spacing w:before="300" w:after="120" w:line="288" w:lineRule="auto"/>
        <w:ind w:left="0"/>
        <w:jc w:val="left"/>
        <w:outlineLvl w:val="2"/>
      </w:pPr>
      <w:bookmarkStart w:id="25" w:name="heading_25"/>
      <w:r>
        <w:rPr>
          <w:rFonts w:ascii="Arial" w:hAnsi="Arial" w:eastAsia="等线" w:cs="Arial"/>
          <w:b/>
          <w:sz w:val="30"/>
        </w:rPr>
        <w:t>2.7 前沿演进趋势：时空基础模型预训练</w:t>
      </w:r>
      <w:bookmarkEnd w:id="25"/>
    </w:p>
    <w:p w14:paraId="768FF75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当前最前沿的方向是基于海量多城市、多场景 GIS 数据进行大规模预训练，学习通用时空表征。代表方向包括交通类 UniST、气象遥感类盘古气象，核心价值是解决新区域冷启动难题，通过少样本微调甚至零样本推理实现跨城市、跨场景迁移，大幅降低地理时空 AI 的落地门槛。</w:t>
      </w:r>
    </w:p>
    <w:p w14:paraId="06DD29FD">
      <w:pPr>
        <w:spacing w:before="320" w:after="120" w:line="288" w:lineRule="auto"/>
        <w:ind w:left="0"/>
        <w:jc w:val="left"/>
        <w:outlineLvl w:val="1"/>
      </w:pPr>
      <w:bookmarkStart w:id="26" w:name="heading_26"/>
      <w:r>
        <w:rPr>
          <w:rFonts w:ascii="Arial" w:hAnsi="Arial" w:eastAsia="等线" w:cs="Arial"/>
          <w:b/>
          <w:sz w:val="32"/>
        </w:rPr>
        <w:t>三、结论与展望</w:t>
      </w:r>
      <w:bookmarkEnd w:id="26"/>
    </w:p>
    <w:p w14:paraId="2E2926A9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综上，地理信息领域对时空预测与异常检测的需求正朝着高精度、低延迟、强泛化的方向持续升级，传统规则与统计方法已无法满足精细化业务要求。技术层面，时空建模已从单一场景定制化 GNN，逐步向 GNN 与 Transformer 深度融合、多模态数据融合、大规模预训练的方向演进。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未来地理时空智能的核心突破点，在于将 GIS 空间先验知识与大模型深度结合，在保障精度的前提下降低部署与迁移成本，进一步向城市治理、自然资源监测、应急防灾等更多场景渗透，支撑地理信息产业的智能化升级。</w:t>
      </w:r>
    </w:p>
    <w:p w14:paraId="767BB533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</w:p>
    <w:p w14:paraId="4B941CBC">
      <w:pPr>
        <w:numPr>
          <w:ilvl w:val="0"/>
          <w:numId w:val="28"/>
        </w:num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 xml:space="preserve">Grigsby J, Wang Z, Qi Y. Long-Range Transformers for Dynamic Spatiotemporal Forecasting[EB/OL]. arXiv preprint arXiv:2109.12218, 2021. </w:t>
      </w:r>
      <w:r>
        <w:rPr>
          <w:rFonts w:ascii="Arial" w:hAnsi="Arial" w:eastAsia="等线" w:cs="Arial"/>
          <w:sz w:val="22"/>
        </w:rPr>
        <w:fldChar w:fldCharType="begin"/>
      </w:r>
      <w:r>
        <w:rPr>
          <w:rFonts w:ascii="Arial" w:hAnsi="Arial" w:eastAsia="等线" w:cs="Arial"/>
          <w:sz w:val="22"/>
        </w:rPr>
        <w:instrText xml:space="preserve"> HYPERLINK "https://link.wtturl.cn/?target=https://arxiv.org/abs/2109.12218&amp;scene=im&amp;aid=582478&amp;lang=zh" \o "autolink" \t "_blank" </w:instrText>
      </w:r>
      <w:r>
        <w:rPr>
          <w:rFonts w:ascii="Arial" w:hAnsi="Arial" w:eastAsia="等线" w:cs="Arial"/>
          <w:sz w:val="22"/>
        </w:rPr>
        <w:fldChar w:fldCharType="separate"/>
      </w:r>
      <w:r>
        <w:rPr>
          <w:rFonts w:ascii="Arial" w:hAnsi="Arial" w:eastAsia="等线" w:cs="Arial"/>
          <w:sz w:val="22"/>
        </w:rPr>
        <w:t>https://arxiv.org/abs/2109.12218</w:t>
      </w:r>
      <w:r>
        <w:rPr>
          <w:rFonts w:ascii="Arial" w:hAnsi="Arial" w:eastAsia="等线" w:cs="Arial"/>
          <w:sz w:val="22"/>
        </w:rPr>
        <w:fldChar w:fldCharType="end"/>
      </w:r>
      <w:r>
        <w:rPr>
          <w:rFonts w:ascii="Arial" w:hAnsi="Arial" w:eastAsia="等线" w:cs="Arial"/>
          <w:sz w:val="22"/>
        </w:rPr>
        <w:t>.</w:t>
      </w:r>
    </w:p>
    <w:p w14:paraId="026B54E8">
      <w:pPr>
        <w:numPr>
          <w:ilvl w:val="0"/>
          <w:numId w:val="28"/>
        </w:numPr>
        <w:spacing w:before="120" w:after="120" w:line="288" w:lineRule="auto"/>
        <w:ind w:left="0" w:leftChars="0" w:firstLine="0" w:firstLineChars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 xml:space="preserve">Fan M. AGFormer: Adaptive Graph Transformer for Multivariate Time Series Forecasting [EB/OL]. GitHub, 2025. </w:t>
      </w:r>
      <w:r>
        <w:rPr>
          <w:rFonts w:ascii="Arial" w:hAnsi="Arial" w:eastAsia="等线" w:cs="Arial"/>
          <w:sz w:val="22"/>
        </w:rPr>
        <w:fldChar w:fldCharType="begin"/>
      </w:r>
      <w:r>
        <w:rPr>
          <w:rFonts w:ascii="Arial" w:hAnsi="Arial" w:eastAsia="等线" w:cs="Arial"/>
          <w:sz w:val="22"/>
        </w:rPr>
        <w:instrText xml:space="preserve"> HYPERLINK "https://link.wtturl.cn/?target=https://github.com/patrickfan/AGFormer&amp;scene=im&amp;aid=582478&amp;lang=zh" \o "autolink" \t "_blank" </w:instrText>
      </w:r>
      <w:r>
        <w:rPr>
          <w:rFonts w:ascii="Arial" w:hAnsi="Arial" w:eastAsia="等线" w:cs="Arial"/>
          <w:sz w:val="22"/>
        </w:rPr>
        <w:fldChar w:fldCharType="separate"/>
      </w:r>
      <w:r>
        <w:rPr>
          <w:rFonts w:ascii="Arial" w:hAnsi="Arial" w:eastAsia="等线" w:cs="Arial"/>
          <w:sz w:val="22"/>
        </w:rPr>
        <w:t>https://github.com/patrickfan/AGFormer</w:t>
      </w:r>
      <w:r>
        <w:rPr>
          <w:rFonts w:ascii="Arial" w:hAnsi="Arial" w:eastAsia="等线" w:cs="Arial"/>
          <w:sz w:val="22"/>
        </w:rPr>
        <w:fldChar w:fldCharType="end"/>
      </w:r>
      <w:r>
        <w:rPr>
          <w:rFonts w:ascii="Arial" w:hAnsi="Arial" w:eastAsia="等线" w:cs="Arial"/>
          <w:sz w:val="22"/>
        </w:rPr>
        <w:t>.</w:t>
      </w:r>
    </w:p>
    <w:p w14:paraId="3372FCE3">
      <w:pPr>
        <w:numPr>
          <w:ilvl w:val="0"/>
          <w:numId w:val="28"/>
        </w:numPr>
        <w:spacing w:before="120" w:after="120" w:line="288" w:lineRule="auto"/>
        <w:ind w:left="0" w:leftChars="0" w:firstLine="0" w:firstLineChars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 xml:space="preserve">Yu B, Yin H, Zhu Z. Spatio-Temporal Graph Convolutional Networks: A Deep Learning Framework for Traffic Forecasting [EB/OL]. arXiv preprint arXiv:1709.04875, 2017. </w:t>
      </w:r>
      <w:r>
        <w:rPr>
          <w:rFonts w:ascii="Arial" w:hAnsi="Arial" w:eastAsia="等线" w:cs="Arial"/>
          <w:sz w:val="22"/>
        </w:rPr>
        <w:fldChar w:fldCharType="begin"/>
      </w:r>
      <w:r>
        <w:rPr>
          <w:rFonts w:ascii="Arial" w:hAnsi="Arial" w:eastAsia="等线" w:cs="Arial"/>
          <w:sz w:val="22"/>
        </w:rPr>
        <w:instrText xml:space="preserve"> HYPERLINK "https://link.wtturl.cn/?target=https://arxiv.org/abs/1709.04875&amp;scene=im&amp;aid=582478&amp;lang=zh" \o "autolink" \t "_blank" </w:instrText>
      </w:r>
      <w:r>
        <w:rPr>
          <w:rFonts w:ascii="Arial" w:hAnsi="Arial" w:eastAsia="等线" w:cs="Arial"/>
          <w:sz w:val="22"/>
        </w:rPr>
        <w:fldChar w:fldCharType="separate"/>
      </w:r>
      <w:r>
        <w:rPr>
          <w:rFonts w:ascii="Arial" w:hAnsi="Arial" w:eastAsia="等线" w:cs="Arial"/>
          <w:sz w:val="22"/>
        </w:rPr>
        <w:t>https://arxiv.org/abs/1709.04875</w:t>
      </w:r>
      <w:r>
        <w:rPr>
          <w:rFonts w:ascii="Arial" w:hAnsi="Arial" w:eastAsia="等线" w:cs="Arial"/>
          <w:sz w:val="22"/>
        </w:rPr>
        <w:fldChar w:fldCharType="end"/>
      </w:r>
      <w:r>
        <w:rPr>
          <w:rFonts w:ascii="Arial" w:hAnsi="Arial" w:eastAsia="等线" w:cs="Arial"/>
          <w:sz w:val="22"/>
        </w:rPr>
        <w:t xml:space="preserve">. </w:t>
      </w:r>
    </w:p>
    <w:p w14:paraId="575803A0">
      <w:pPr>
        <w:numPr>
          <w:ilvl w:val="0"/>
          <w:numId w:val="28"/>
        </w:numPr>
        <w:spacing w:before="120" w:after="120" w:line="288" w:lineRule="auto"/>
        <w:ind w:left="0" w:leftChars="0" w:firstLine="0" w:firstLineChars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 xml:space="preserve">Wu H, Liu Q, et al. A Survey on Spatio-Temporal Prediction: From Transformers to Foundation Models [J]. ACM Computing Surveys, 2024, 56 (11):1-36. </w:t>
      </w:r>
      <w:r>
        <w:rPr>
          <w:rFonts w:ascii="Arial" w:hAnsi="Arial" w:eastAsia="等线" w:cs="Arial"/>
          <w:sz w:val="22"/>
        </w:rPr>
        <w:fldChar w:fldCharType="begin"/>
      </w:r>
      <w:r>
        <w:rPr>
          <w:rFonts w:ascii="Arial" w:hAnsi="Arial" w:eastAsia="等线" w:cs="Arial"/>
          <w:sz w:val="22"/>
        </w:rPr>
        <w:instrText xml:space="preserve"> HYPERLINK "https://link.wtturl.cn/?target=https://doi.org/10.1145/37666546&amp;scene=im&amp;aid=582478&amp;lang=zh" \o "autolink" \t "_blank" </w:instrText>
      </w:r>
      <w:r>
        <w:rPr>
          <w:rFonts w:ascii="Arial" w:hAnsi="Arial" w:eastAsia="等线" w:cs="Arial"/>
          <w:sz w:val="22"/>
        </w:rPr>
        <w:fldChar w:fldCharType="separate"/>
      </w:r>
      <w:r>
        <w:rPr>
          <w:rFonts w:ascii="Arial" w:hAnsi="Arial" w:eastAsia="等线" w:cs="Arial"/>
          <w:sz w:val="22"/>
        </w:rPr>
        <w:t>https://doi.org/10.1145/37666546</w:t>
      </w:r>
      <w:r>
        <w:rPr>
          <w:rFonts w:ascii="Arial" w:hAnsi="Arial" w:eastAsia="等线" w:cs="Arial"/>
          <w:sz w:val="22"/>
        </w:rPr>
        <w:fldChar w:fldCharType="end"/>
      </w:r>
      <w:r>
        <w:rPr>
          <w:rFonts w:ascii="Arial" w:hAnsi="Arial" w:eastAsia="等线" w:cs="Arial"/>
          <w:sz w:val="22"/>
        </w:rPr>
        <w:t xml:space="preserve">. </w:t>
      </w:r>
    </w:p>
    <w:p w14:paraId="61A0769E">
      <w:pPr>
        <w:numPr>
          <w:ilvl w:val="0"/>
          <w:numId w:val="28"/>
        </w:numPr>
        <w:spacing w:before="120" w:after="120" w:line="288" w:lineRule="auto"/>
        <w:ind w:left="0" w:leftChars="0" w:firstLine="0" w:firstLineChars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Li X, Wang Y, Zhang H. GCNFORMER: graph convolutional network and transformer for predicting lncRNA-disease associations [J]. Briefings in Bioinformatics, 2025, 26 (2):bbae789.</w:t>
      </w:r>
    </w:p>
    <w:p w14:paraId="536E1147">
      <w:pPr>
        <w:numPr>
          <w:ilvl w:val="0"/>
          <w:numId w:val="28"/>
        </w:numPr>
        <w:spacing w:before="120" w:after="120" w:line="288" w:lineRule="auto"/>
        <w:ind w:left="0" w:leftChars="0" w:firstLine="0" w:firstLineChars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Cui L, Zhou K, Liu S. YZS-MODEL: A Predictive Model for Organic Drug Solubility Based on Graph Convolutional Networks and Transformer-Attention [J]. Journal of Chemical Information and Modeling, 2025, 65 (11):4892-4903.</w:t>
      </w:r>
    </w:p>
    <w:p w14:paraId="6C807541">
      <w:pPr>
        <w:numPr>
          <w:ilvl w:val="0"/>
          <w:numId w:val="28"/>
        </w:numPr>
        <w:spacing w:before="120" w:after="120" w:line="288" w:lineRule="auto"/>
        <w:ind w:left="0" w:leftChars="0" w:firstLine="0" w:firstLineChars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Chen J, Wu T, Zhang L. MotionAGFormer: Enhancing 3D Human Pose Estimation With a Transformer-GCNFormer Network [C]//IEEE/CVF Conference on Computer Vision and Pattern Recognition, 2025:15672-15681.</w:t>
      </w:r>
    </w:p>
    <w:p w14:paraId="7DBA28BE">
      <w:pPr>
        <w:numPr>
          <w:numId w:val="0"/>
        </w:numPr>
        <w:spacing w:before="120" w:after="120" w:line="288" w:lineRule="auto"/>
        <w:ind w:leftChars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[8] Park J, Lee S, Kim H. Enhancing App Usage Prediction Accuracy With GCN-Transformer Model and Meta-Path Context [C]//ACM International Conference on Information and Knowledge Management, 2022:4312-4321.</w:t>
      </w:r>
      <w:bookmarkStart w:id="27" w:name="_GoBack"/>
      <w:bookmarkEnd w:id="27"/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30BF0AA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2041DA0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39341B"/>
    <w:multiLevelType w:val="singleLevel"/>
    <w:tmpl w:val="9239341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">
    <w:nsid w:val="9C8AC8EF"/>
    <w:multiLevelType w:val="singleLevel"/>
    <w:tmpl w:val="9C8AC8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">
    <w:nsid w:val="B0F1ACD9"/>
    <w:multiLevelType w:val="singleLevel"/>
    <w:tmpl w:val="B0F1ACD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">
    <w:nsid w:val="B5E306ED"/>
    <w:multiLevelType w:val="singleLevel"/>
    <w:tmpl w:val="B5E306E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">
    <w:nsid w:val="BE923771"/>
    <w:multiLevelType w:val="singleLevel"/>
    <w:tmpl w:val="BE923771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5">
    <w:nsid w:val="BF205925"/>
    <w:multiLevelType w:val="singleLevel"/>
    <w:tmpl w:val="BF20592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">
    <w:nsid w:val="C8879AEF"/>
    <w:multiLevelType w:val="singleLevel"/>
    <w:tmpl w:val="C8879A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">
    <w:nsid w:val="CF092B84"/>
    <w:multiLevelType w:val="singleLevel"/>
    <w:tmpl w:val="CF092B8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">
    <w:nsid w:val="D7F9FE59"/>
    <w:multiLevelType w:val="singleLevel"/>
    <w:tmpl w:val="D7F9FE5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">
    <w:nsid w:val="DCBA6B53"/>
    <w:multiLevelType w:val="singleLevel"/>
    <w:tmpl w:val="DCBA6B5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">
    <w:nsid w:val="F4B5D9F5"/>
    <w:multiLevelType w:val="singleLevel"/>
    <w:tmpl w:val="F4B5D9F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">
    <w:nsid w:val="F73D6CA2"/>
    <w:multiLevelType w:val="singleLevel"/>
    <w:tmpl w:val="F73D6CA2"/>
    <w:lvl w:ilvl="0" w:tentative="0">
      <w:start w:val="1"/>
      <w:numFmt w:val="decimal"/>
      <w:suff w:val="space"/>
      <w:lvlText w:val="[%1]"/>
      <w:lvlJc w:val="left"/>
    </w:lvl>
  </w:abstractNum>
  <w:abstractNum w:abstractNumId="12">
    <w:nsid w:val="0053208E"/>
    <w:multiLevelType w:val="singleLevel"/>
    <w:tmpl w:val="0053208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">
    <w:nsid w:val="0248C179"/>
    <w:multiLevelType w:val="singleLevel"/>
    <w:tmpl w:val="0248C17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">
    <w:nsid w:val="03D62ECE"/>
    <w:multiLevelType w:val="singleLevel"/>
    <w:tmpl w:val="03D62EC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5">
    <w:nsid w:val="0E640482"/>
    <w:multiLevelType w:val="singleLevel"/>
    <w:tmpl w:val="0E64048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6">
    <w:nsid w:val="2470EC97"/>
    <w:multiLevelType w:val="singleLevel"/>
    <w:tmpl w:val="2470EC9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7">
    <w:nsid w:val="25B654F3"/>
    <w:multiLevelType w:val="singleLevel"/>
    <w:tmpl w:val="25B654F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8">
    <w:nsid w:val="2A8F537B"/>
    <w:multiLevelType w:val="singleLevel"/>
    <w:tmpl w:val="2A8F537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9">
    <w:nsid w:val="46A08BB8"/>
    <w:multiLevelType w:val="singleLevel"/>
    <w:tmpl w:val="46A08BB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0">
    <w:nsid w:val="4C1BAE26"/>
    <w:multiLevelType w:val="singleLevel"/>
    <w:tmpl w:val="4C1BAE2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1">
    <w:nsid w:val="4D4DC07F"/>
    <w:multiLevelType w:val="singleLevel"/>
    <w:tmpl w:val="4D4DC07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2">
    <w:nsid w:val="59ADCABA"/>
    <w:multiLevelType w:val="singleLevel"/>
    <w:tmpl w:val="59ADCAB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3">
    <w:nsid w:val="5A241D34"/>
    <w:multiLevelType w:val="singleLevel"/>
    <w:tmpl w:val="5A241D3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4">
    <w:nsid w:val="60382F6E"/>
    <w:multiLevelType w:val="singleLevel"/>
    <w:tmpl w:val="60382F6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5">
    <w:nsid w:val="72183CF9"/>
    <w:multiLevelType w:val="singleLevel"/>
    <w:tmpl w:val="72183CF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6">
    <w:nsid w:val="77ECEA79"/>
    <w:multiLevelType w:val="singleLevel"/>
    <w:tmpl w:val="77ECEA79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7">
    <w:nsid w:val="7C246926"/>
    <w:multiLevelType w:val="singleLevel"/>
    <w:tmpl w:val="7C246926"/>
    <w:lvl w:ilvl="0" w:tentative="0">
      <w:start w:val="1"/>
      <w:numFmt w:val="decimal"/>
      <w:lvlText w:val="%1."/>
      <w:lvlJc w:val="left"/>
      <w:rPr>
        <w:color w:val="3370FF"/>
      </w:rPr>
    </w:lvl>
  </w:abstractNum>
  <w:num w:numId="1">
    <w:abstractNumId w:val="12"/>
  </w:num>
  <w:num w:numId="2">
    <w:abstractNumId w:val="7"/>
  </w:num>
  <w:num w:numId="3">
    <w:abstractNumId w:val="22"/>
  </w:num>
  <w:num w:numId="4">
    <w:abstractNumId w:val="5"/>
  </w:num>
  <w:num w:numId="5">
    <w:abstractNumId w:val="3"/>
  </w:num>
  <w:num w:numId="6">
    <w:abstractNumId w:val="14"/>
  </w:num>
  <w:num w:numId="7">
    <w:abstractNumId w:val="17"/>
  </w:num>
  <w:num w:numId="8">
    <w:abstractNumId w:val="25"/>
  </w:num>
  <w:num w:numId="9">
    <w:abstractNumId w:val="13"/>
  </w:num>
  <w:num w:numId="10">
    <w:abstractNumId w:val="0"/>
  </w:num>
  <w:num w:numId="11">
    <w:abstractNumId w:val="18"/>
  </w:num>
  <w:num w:numId="12">
    <w:abstractNumId w:val="23"/>
  </w:num>
  <w:num w:numId="13">
    <w:abstractNumId w:val="6"/>
  </w:num>
  <w:num w:numId="14">
    <w:abstractNumId w:val="21"/>
  </w:num>
  <w:num w:numId="15">
    <w:abstractNumId w:val="10"/>
  </w:num>
  <w:num w:numId="16">
    <w:abstractNumId w:val="16"/>
  </w:num>
  <w:num w:numId="17">
    <w:abstractNumId w:val="9"/>
  </w:num>
  <w:num w:numId="18">
    <w:abstractNumId w:val="8"/>
  </w:num>
  <w:num w:numId="19">
    <w:abstractNumId w:val="1"/>
  </w:num>
  <w:num w:numId="20">
    <w:abstractNumId w:val="20"/>
  </w:num>
  <w:num w:numId="21">
    <w:abstractNumId w:val="24"/>
  </w:num>
  <w:num w:numId="22">
    <w:abstractNumId w:val="15"/>
  </w:num>
  <w:num w:numId="23">
    <w:abstractNumId w:val="19"/>
  </w:num>
  <w:num w:numId="24">
    <w:abstractNumId w:val="2"/>
  </w:num>
  <w:num w:numId="25">
    <w:abstractNumId w:val="27"/>
  </w:num>
  <w:num w:numId="26">
    <w:abstractNumId w:val="26"/>
  </w:num>
  <w:num w:numId="27">
    <w:abstractNumId w:val="4"/>
  </w:num>
  <w:num w:numId="2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6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splitPgBreakAndParaMark/>
    <w:compatSetting w:name="compatibilityMode" w:uri="http://schemas.microsoft.com/office/word" w:val="12"/>
  </w:compat>
  <w:rsids>
    <w:rsidRoot w:val="00000000"/>
    <w:rsid w:val="79D2640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7</Pages>
  <Words>4185</Words>
  <Characters>4663</Characters>
  <TotalTime>8</TotalTime>
  <ScaleCrop>false</ScaleCrop>
  <LinksUpToDate>false</LinksUpToDate>
  <CharactersWithSpaces>4844</CharactersWithSpaces>
  <Application>WPS Office_12.1.0.26375_F1E327BC-269C-435d-A152-05C5408002CA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2026-06-30T09:54:00Z</dcterms:created>
  <dc:creator>Apache POI</dc:creator>
  <cp:lastModifiedBy>Kevin</cp:lastModifiedBy>
  <dcterms:modified xsi:type="dcterms:W3CDTF">2026-06-30T11:31:20Z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{"Label":"1","ContentProducer":"001191110102MACQD9K64010000","ProduceID":"7657124662188035312","ReservedCode1":"","ContentPropagator":"","PropagateID":"","ReservedCode2":""}</vt:lpwstr>
  </property>
  <property fmtid="{D5CDD505-2E9C-101B-9397-08002B2CF9AE}" pid="3" name="KSOTemplateDocerSaveRecord">
    <vt:lpwstr>eyJoZGlkIjoiNmM2NjdjZDE0OGI3MDQ5NTEzZWEzNDgxMTg0ZWY1MTEiLCJ1c2VySWQiOiI2NDI4MzI1MzQifQ==</vt:lpwstr>
  </property>
  <property fmtid="{D5CDD505-2E9C-101B-9397-08002B2CF9AE}" pid="4" name="KSOProductBuildVer">
    <vt:lpwstr>2052-12.1.0.26375</vt:lpwstr>
  </property>
  <property fmtid="{D5CDD505-2E9C-101B-9397-08002B2CF9AE}" pid="5" name="ICV">
    <vt:lpwstr>EF4B11B3157D44EBBEA01E2C2D8780C7_12</vt:lpwstr>
  </property>
</Properties>
</file>