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Calibri" w:hAnsi="Calibri"/>
          <w:b/>
          <w:color w:val="065F46"/>
          <w:sz w:val="44"/>
        </w:rPr>
        <w:t>FASAL (फसल) Security, Resilience &amp; Truth Defense Architecture</w:t>
      </w:r>
    </w:p>
    <w:p>
      <w:pPr>
        <w:spacing w:after="320"/>
        <w:jc w:val="center"/>
      </w:pPr>
      <w:r>
        <w:rPr>
          <w:rFonts w:ascii="Calibri" w:hAnsi="Calibri"/>
          <w:i/>
          <w:color w:val="475569"/>
          <w:sz w:val="22"/>
        </w:rPr>
        <w:t>Comprehensive Specification: Cryptographic Engine, DoS/DDoS Mitigation, Google Drive Disaster Recovery &amp; 'The Bad Reading' Misinformation Defense</w:t>
      </w:r>
    </w:p>
    <w:tbl>
      <w:tblPr>
        <w:tblW w:type="auto" w:w="0"/>
        <w:jc w:val="center"/>
        <w:tblLook w:firstColumn="1" w:firstRow="1" w:lastColumn="0" w:lastRow="0" w:noHBand="0" w:noVBand="1" w:val="04A0"/>
      </w:tblPr>
      <w:tblGrid>
        <w:gridCol w:w="2484"/>
        <w:gridCol w:w="2484"/>
        <w:gridCol w:w="2484"/>
        <w:gridCol w:w="2484"/>
      </w:tblGrid>
      <w:tr>
        <w:tc>
          <w:tcPr>
            <w:tcW w:type="dxa" w:w="2484"/>
            <w:shd w:fill="F8FAFC"/>
            <w:tcMar>
              <w:top w:w="80" w:type="dxa"/>
              <w:bottom w:w="80" w:type="dxa"/>
              <w:left w:w="100" w:type="dxa"/>
              <w:right w:w="100" w:type="dxa"/>
            </w:tcMar>
          </w:tcPr>
          <w:p>
            <w:pPr>
              <w:spacing w:before="20" w:after="20"/>
            </w:pPr>
            <w:r>
              <w:rPr>
                <w:rFonts w:ascii="Calibri" w:hAnsi="Calibri"/>
                <w:b/>
                <w:color w:val="475569"/>
                <w:sz w:val="17"/>
              </w:rPr>
              <w:t xml:space="preserve">Project: </w:t>
            </w:r>
            <w:r>
              <w:rPr>
                <w:rFonts w:ascii="Calibri" w:hAnsi="Calibri"/>
                <w:color w:val="0F172A"/>
                <w:sz w:val="17"/>
              </w:rPr>
              <w:t>FASAL AgTech Platform</w:t>
            </w:r>
          </w:p>
        </w:tc>
        <w:tc>
          <w:tcPr>
            <w:tcW w:type="dxa" w:w="2484"/>
            <w:shd w:fill="F8FAFC"/>
            <w:tcMar>
              <w:top w:w="80" w:type="dxa"/>
              <w:bottom w:w="80" w:type="dxa"/>
              <w:left w:w="100" w:type="dxa"/>
              <w:right w:w="100" w:type="dxa"/>
            </w:tcMar>
          </w:tcPr>
          <w:p>
            <w:pPr>
              <w:spacing w:before="20" w:after="20"/>
            </w:pPr>
            <w:r>
              <w:rPr>
                <w:rFonts w:ascii="Calibri" w:hAnsi="Calibri"/>
                <w:b/>
                <w:color w:val="475569"/>
                <w:sz w:val="17"/>
              </w:rPr>
              <w:t xml:space="preserve">Track: </w:t>
            </w:r>
            <w:r>
              <w:rPr>
                <w:rFonts w:ascii="Calibri" w:hAnsi="Calibri"/>
                <w:color w:val="0F172A"/>
                <w:sz w:val="17"/>
              </w:rPr>
              <w:t>Sanjivani Hackathon 2026</w:t>
            </w:r>
          </w:p>
        </w:tc>
        <w:tc>
          <w:tcPr>
            <w:tcW w:type="dxa" w:w="2484"/>
            <w:shd w:fill="F8FAFC"/>
            <w:tcMar>
              <w:top w:w="80" w:type="dxa"/>
              <w:bottom w:w="80" w:type="dxa"/>
              <w:left w:w="100" w:type="dxa"/>
              <w:right w:w="100" w:type="dxa"/>
            </w:tcMar>
          </w:tcPr>
          <w:p>
            <w:pPr>
              <w:spacing w:before="20" w:after="20"/>
            </w:pPr>
            <w:r>
              <w:rPr>
                <w:rFonts w:ascii="Calibri" w:hAnsi="Calibri"/>
                <w:b/>
                <w:color w:val="475569"/>
                <w:sz w:val="17"/>
              </w:rPr>
              <w:t xml:space="preserve">Version: </w:t>
            </w:r>
            <w:r>
              <w:rPr>
                <w:rFonts w:ascii="Calibri" w:hAnsi="Calibri"/>
                <w:color w:val="0F172A"/>
                <w:sz w:val="17"/>
              </w:rPr>
              <w:t>1.3.0 (Truth-Defense Ready)</w:t>
            </w:r>
          </w:p>
        </w:tc>
        <w:tc>
          <w:tcPr>
            <w:tcW w:type="dxa" w:w="2484"/>
            <w:shd w:fill="F8FAFC"/>
            <w:tcMar>
              <w:top w:w="80" w:type="dxa"/>
              <w:bottom w:w="80" w:type="dxa"/>
              <w:left w:w="100" w:type="dxa"/>
              <w:right w:w="100" w:type="dxa"/>
            </w:tcMar>
          </w:tcPr>
          <w:p>
            <w:pPr>
              <w:spacing w:before="20" w:after="20"/>
            </w:pPr>
            <w:r>
              <w:rPr>
                <w:rFonts w:ascii="Calibri" w:hAnsi="Calibri"/>
                <w:b/>
                <w:color w:val="475569"/>
                <w:sz w:val="17"/>
              </w:rPr>
              <w:t xml:space="preserve">Status: </w:t>
            </w:r>
            <w:r>
              <w:rPr>
                <w:rFonts w:ascii="Calibri" w:hAnsi="Calibri"/>
                <w:color w:val="0F172A"/>
                <w:sz w:val="17"/>
              </w:rPr>
              <w:t>Active Protected</w:t>
            </w:r>
          </w:p>
        </w:tc>
      </w:tr>
      <w:tr>
        <w:tc>
          <w:tcPr>
            <w:tcW w:type="dxa" w:w="2484"/>
            <w:shd w:fill="F8FAFC"/>
            <w:tcMar>
              <w:top w:w="80" w:type="dxa"/>
              <w:bottom w:w="80" w:type="dxa"/>
              <w:left w:w="100" w:type="dxa"/>
              <w:right w:w="100" w:type="dxa"/>
            </w:tcMar>
          </w:tcPr>
          <w:p>
            <w:pPr>
              <w:spacing w:before="20" w:after="20"/>
            </w:pPr>
            <w:r>
              <w:rPr>
                <w:rFonts w:ascii="Calibri" w:hAnsi="Calibri"/>
                <w:b/>
                <w:color w:val="475569"/>
                <w:sz w:val="17"/>
              </w:rPr>
              <w:t xml:space="preserve">Framework: </w:t>
            </w:r>
            <w:r>
              <w:rPr>
                <w:rFonts w:ascii="Calibri" w:hAnsi="Calibri"/>
                <w:color w:val="0F172A"/>
                <w:sz w:val="17"/>
              </w:rPr>
              <w:t>PHP 8.2 + HybridCrypto</w:t>
            </w:r>
          </w:p>
        </w:tc>
        <w:tc>
          <w:tcPr>
            <w:tcW w:type="dxa" w:w="2484"/>
            <w:shd w:fill="F8FAFC"/>
            <w:tcMar>
              <w:top w:w="80" w:type="dxa"/>
              <w:bottom w:w="80" w:type="dxa"/>
              <w:left w:w="100" w:type="dxa"/>
              <w:right w:w="100" w:type="dxa"/>
            </w:tcMar>
          </w:tcPr>
          <w:p>
            <w:pPr>
              <w:spacing w:before="20" w:after="20"/>
            </w:pPr>
            <w:r>
              <w:rPr>
                <w:rFonts w:ascii="Calibri" w:hAnsi="Calibri"/>
                <w:b/>
                <w:color w:val="475569"/>
                <w:sz w:val="17"/>
              </w:rPr>
              <w:t xml:space="preserve">Data Store: </w:t>
            </w:r>
            <w:r>
              <w:rPr>
                <w:rFonts w:ascii="Calibri" w:hAnsi="Calibri"/>
                <w:color w:val="0F172A"/>
                <w:sz w:val="17"/>
              </w:rPr>
              <w:t>MySQL + JSONL WAL + HA Cache</w:t>
            </w:r>
          </w:p>
        </w:tc>
        <w:tc>
          <w:tcPr>
            <w:tcW w:type="dxa" w:w="2484"/>
            <w:shd w:fill="F8FAFC"/>
            <w:tcMar>
              <w:top w:w="80" w:type="dxa"/>
              <w:bottom w:w="80" w:type="dxa"/>
              <w:left w:w="100" w:type="dxa"/>
              <w:right w:w="100" w:type="dxa"/>
            </w:tcMar>
          </w:tcPr>
          <w:p>
            <w:pPr>
              <w:spacing w:before="20" w:after="20"/>
            </w:pPr>
            <w:r>
              <w:rPr>
                <w:rFonts w:ascii="Calibri" w:hAnsi="Calibri"/>
                <w:b/>
                <w:color w:val="475569"/>
                <w:sz w:val="17"/>
              </w:rPr>
              <w:t xml:space="preserve">Truth Engine: </w:t>
            </w:r>
            <w:r>
              <w:rPr>
                <w:rFonts w:ascii="Calibri" w:hAnsi="Calibri"/>
                <w:color w:val="0F172A"/>
                <w:sz w:val="17"/>
              </w:rPr>
              <w:t>Satya-Rakshak Multi-Ontology</w:t>
            </w:r>
          </w:p>
        </w:tc>
        <w:tc>
          <w:tcPr>
            <w:tcW w:type="dxa" w:w="2484"/>
            <w:shd w:fill="F8FAFC"/>
            <w:tcMar>
              <w:top w:w="80" w:type="dxa"/>
              <w:bottom w:w="80" w:type="dxa"/>
              <w:left w:w="100" w:type="dxa"/>
              <w:right w:w="100" w:type="dxa"/>
            </w:tcMar>
          </w:tcPr>
          <w:p>
            <w:pPr>
              <w:spacing w:before="20" w:after="20"/>
            </w:pPr>
            <w:r>
              <w:rPr>
                <w:rFonts w:ascii="Calibri" w:hAnsi="Calibri"/>
                <w:b/>
                <w:color w:val="475569"/>
                <w:sz w:val="17"/>
              </w:rPr>
              <w:t xml:space="preserve">Offsite Backup: </w:t>
            </w:r>
            <w:r>
              <w:rPr>
                <w:rFonts w:ascii="Calibri" w:hAnsi="Calibri"/>
                <w:color w:val="0F172A"/>
                <w:sz w:val="17"/>
              </w:rPr>
              <w:t>Google Drive Direct SQL &amp; Bundle</w:t>
            </w:r>
          </w:p>
        </w:tc>
      </w:tr>
    </w:tbl>
    <w:p>
      <w:pPr>
        <w:spacing w:after="160"/>
      </w:pPr>
    </w:p>
    <w:p>
      <w:pPr>
        <w:pStyle w:val="Heading1"/>
        <w:spacing w:before="280" w:after="80"/>
      </w:pPr>
      <w:r>
        <w:rPr>
          <w:rFonts w:ascii="Calibri" w:hAnsi="Calibri"/>
          <w:b/>
          <w:color w:val="107846"/>
          <w:sz w:val="36"/>
        </w:rPr>
        <w:t>1. Executive Summary &amp; Security Overview</w:t>
      </w:r>
    </w:p>
    <w:p>
      <w:pPr>
        <w:spacing w:line="276" w:lineRule="auto"/>
      </w:pPr>
      <w:r>
        <w:t>FASAL is an agronomic decision-intelligence platform engineered with an enterprise-grade, Defense-in-Depth security and resilience architecture. It protects critical farmer identity, IoT sensor telemetry, APMC market transaction intelligence, and agronomy records against modern attack vectors including SQL Injections (SQLi), Cross-Site Scripting (XSS), Cross-Site Request Forgery (CSRF), Denial-of-Service (DoS), Distributed Denial-of-Service (DDoS), credential compromise, catastrophic mid-operation database wipeouts (The Blackout disaster scenario), and viral misinformation, fake crop remedies, and coordinated smear attacks (The Bad Reading crisis scenario).</w:t>
      </w:r>
    </w:p>
    <w:tbl>
      <w:tblPr>
        <w:tblW w:type="auto" w:w="0"/>
        <w:jc w:val="center"/>
        <w:tblLayout w:type="fixed"/>
        <w:tblLook w:firstColumn="1" w:firstRow="1" w:lastColumn="0" w:lastRow="0" w:noHBand="0" w:noVBand="1" w:val="04A0"/>
      </w:tblPr>
      <w:tblGrid>
        <w:gridCol w:w="9360"/>
      </w:tblGrid>
      <w:tr>
        <w:tc>
          <w:tcPr>
            <w:tcW w:type="dxa" w:w="9936"/>
            <w:shd w:fill="F0FDF4"/>
            <w:tcMar>
              <w:top w:w="120" w:type="dxa"/>
              <w:bottom w:w="120" w:type="dxa"/>
              <w:left w:w="200" w:type="dxa"/>
              <w:right w:w="200" w:type="dxa"/>
            </w:tcMar>
            <w:tcBorders>
              <w:left w:val="single" w:sz="24" w:space="0" w:color="10B981"/>
              <w:top w:val="none"/>
              <w:right w:val="none"/>
              <w:bottom w:val="none"/>
            </w:tcBorders>
          </w:tcPr>
          <w:p>
            <w:pPr>
              <w:spacing w:before="40" w:after="40"/>
            </w:pPr>
            <w:r>
              <w:rPr>
                <w:rFonts w:ascii="Calibri" w:hAnsi="Calibri"/>
                <w:b/>
                <w:color w:val="065F46"/>
                <w:sz w:val="20"/>
              </w:rPr>
              <w:t xml:space="preserve">🔒 CORE CRYPTOGRAPHIC &amp; RESILIENCE TENET: </w:t>
            </w:r>
            <w:r>
              <w:rPr>
                <w:rFonts w:ascii="Calibri" w:hAnsi="Calibri"/>
                <w:color w:val="1E293B"/>
                <w:sz w:val="20"/>
              </w:rPr>
              <w:t>FASAL implements a dual-resilience shield: 1) Physical/Data resilience through Write-Ahead Log (WAL) Self-Healing &amp; Google Drive offsite backups; 2) Epistemic/Informational resilience through 'Satya-Rakshak' Truth-Verification Engine grounded in ICAR, MPKV Rahuri, and official MahaDBT registries.</w:t>
            </w:r>
          </w:p>
        </w:tc>
      </w:tr>
    </w:tbl>
    <w:p>
      <w:pPr>
        <w:spacing w:after="80"/>
      </w:pPr>
    </w:p>
    <w:p>
      <w:pPr>
        <w:pStyle w:val="Heading1"/>
        <w:spacing w:before="280" w:after="80"/>
      </w:pPr>
      <w:r>
        <w:rPr>
          <w:rFonts w:ascii="Calibri" w:hAnsi="Calibri"/>
          <w:b/>
          <w:color w:val="107846"/>
          <w:sz w:val="36"/>
        </w:rPr>
        <w:t>2. Cryptographic Architecture: Encryption, Decryption &amp; Blind Indexing</w:t>
      </w:r>
    </w:p>
    <w:p>
      <w:pPr>
        <w:pStyle w:val="Heading2"/>
        <w:spacing w:before="280" w:after="80"/>
      </w:pPr>
      <w:r>
        <w:rPr>
          <w:rFonts w:ascii="Calibri" w:hAnsi="Calibri"/>
          <w:b/>
          <w:color w:val="1E40AF"/>
          <w:sz w:val="28"/>
        </w:rPr>
        <w:t>2.1 Symmetric Encryption Algorithm: AES-256-CBC</w:t>
      </w:r>
    </w:p>
    <w:p>
      <w:r>
        <w:t>FASAL implements the Advanced Encryption Standard (AES) with a 256-bit symmetric cipher in Cipher Block Chaining (CBC) mode (`aes-256-cbc`). Key derivation uses SHA-256 (`hash('sha256', $secretKey, true)`), guaranteeing a 32-byte cryptographically strong key space. Every single encrypted record generates a unique, unpredictable 16-byte IV using `random_bytes(16)`.</w:t>
      </w:r>
    </w:p>
    <w:p>
      <w:pPr>
        <w:pStyle w:val="Heading2"/>
        <w:spacing w:before="280" w:after="80"/>
      </w:pPr>
      <w:r>
        <w:rPr>
          <w:rFonts w:ascii="Calibri" w:hAnsi="Calibri"/>
          <w:b/>
          <w:color w:val="1E40AF"/>
          <w:sz w:val="28"/>
        </w:rPr>
        <w:t>2.2 Authenticated Encryption: Encrypt-then-MAC (HMAC-SHA256)</w:t>
      </w:r>
    </w:p>
    <w:p>
      <w:r>
        <w:t>To prevent padding oracle attacks and bit-flipping ciphertext tampering, FASAL adopts the Encrypt-then-MAC paradigm with a distinct 32-byte authentication key. During decryption, the MAC is verified using `hash_equals()`, eliminating side-channel timing attacks. Envelope payload: `base64( IV [16] + HMAC [32] + Ciphertext )`.</w:t>
      </w:r>
    </w:p>
    <w:p>
      <w:pPr>
        <w:pStyle w:val="Heading2"/>
        <w:spacing w:before="280" w:after="80"/>
      </w:pPr>
      <w:r>
        <w:rPr>
          <w:rFonts w:ascii="Calibri" w:hAnsi="Calibri"/>
          <w:b/>
          <w:color w:val="1E40AF"/>
          <w:sz w:val="28"/>
        </w:rPr>
        <w:t>2.3 Searchable Encryption via Deterministic Blind Indexing</w:t>
      </w:r>
    </w:p>
    <w:p>
      <w:r>
        <w:t>A separate secret pepper key calculates a deterministic HMAC-SHA256 hash over normalized attributes (such as farmer mobile number: `HybridCrypto::blindIndex($phone)`), allowing O(1) indexed lookups (`SELECT * FROM users WHERE phone_blind_index = :bidx`) without exposing plaintext records.</w:t>
      </w:r>
    </w:p>
    <w:p>
      <w:pPr>
        <w:pStyle w:val="Heading1"/>
        <w:spacing w:before="280" w:after="80"/>
      </w:pPr>
      <w:r>
        <w:rPr>
          <w:rFonts w:ascii="Calibri" w:hAnsi="Calibri"/>
          <w:b/>
          <w:color w:val="107846"/>
          <w:sz w:val="36"/>
        </w:rPr>
        <w:t>3. SQL Injection (SQLi) Defense Architecture</w:t>
      </w:r>
    </w:p>
    <w:p>
      <w:r>
        <w:t>100% of queries execute via PDO Prepared Statements (`$pdo-&gt;prepare()`) with parameterized native binding. Emulated prepares are strictly disabled (`ATTR_EMULATE_PREPARES =&gt; false`), and all scalar inputs are sanitized via `Security::sanitizeString()` and `Security::sanitizeInt()`.</w:t>
      </w:r>
    </w:p>
    <w:p>
      <w:pPr>
        <w:pStyle w:val="Heading1"/>
        <w:spacing w:before="280" w:after="80"/>
      </w:pPr>
      <w:r>
        <w:rPr>
          <w:rFonts w:ascii="Calibri" w:hAnsi="Calibri"/>
          <w:b/>
          <w:color w:val="107846"/>
          <w:sz w:val="36"/>
        </w:rPr>
        <w:t>4. Cross-Site Scripting (XSS) &amp; Header Hardening</w:t>
      </w:r>
    </w:p>
    <w:p>
      <w:r>
        <w:t>All output rendering is escaped via `Security::escape()` (`htmlspecialchars($data, ENT_QUOTES | ENT_SUBSTITUTE, 'UTF-8')`). Hardened HTTP security headers include: `X-Content-Type-Options: nosniff`, `X-Frame-Options: SAMEORIGIN`, `X-XSS-Protection: 1; mode=block`, `Referrer-Policy: strict-origin-when-cross-origin`, and `Content-Security-Policy`.</w:t>
      </w:r>
    </w:p>
    <w:p>
      <w:pPr>
        <w:pStyle w:val="Heading1"/>
        <w:spacing w:before="280" w:after="80"/>
      </w:pPr>
      <w:r>
        <w:rPr>
          <w:rFonts w:ascii="Calibri" w:hAnsi="Calibri"/>
          <w:b/>
          <w:color w:val="107846"/>
          <w:sz w:val="36"/>
        </w:rPr>
        <w:t>5. Cross-Site Request Forgery (CSRF) Guard</w:t>
      </w:r>
    </w:p>
    <w:p>
      <w:r>
        <w:t>32-byte session-anchored cryptographic tokens (`bin2hex(random_bytes(32))`) validated across traditional form submissions (`Security::csrfField()`) and AJAX/Fetch requests (`X-CSRF-Token` HTTP headers).</w:t>
      </w:r>
    </w:p>
    <w:p>
      <w:pPr>
        <w:pStyle w:val="Heading1"/>
        <w:spacing w:before="280" w:after="80"/>
      </w:pPr>
      <w:r>
        <w:rPr>
          <w:rFonts w:ascii="Calibri" w:hAnsi="Calibri"/>
          <w:b/>
          <w:color w:val="107846"/>
          <w:sz w:val="36"/>
        </w:rPr>
        <w:t>6. Denial-of-Service (DoS) &amp; Distributed DoS (DDoS) Mitigation</w:t>
      </w:r>
    </w:p>
    <w:p>
      <w:r>
        <w:t>1) Sliding-Window Rate Limiting (120 req/min with HTTP 429 Retry-After: 60); 2) Max Request Body Limit (2,097,152 bytes / 2MB); 3) Socket execution timeouts (3-6s); 4) Client IP resolution across Cloudflare (`CF-Connecting-IP`) and reverse proxies; 5) Automated IP Jail Ban (`data/ip_jail.json`) with 300s HTTP 403 isolation; 6) Invisible honeypot trap field (`website_fax_trap`) to drop automated bot scrapers.</w:t>
      </w:r>
    </w:p>
    <w:p>
      <w:pPr>
        <w:pStyle w:val="Heading1"/>
        <w:spacing w:before="280" w:after="80"/>
      </w:pPr>
      <w:r>
        <w:rPr>
          <w:rFonts w:ascii="Calibri" w:hAnsi="Calibri"/>
          <w:b/>
          <w:color w:val="107846"/>
          <w:sz w:val="36"/>
        </w:rPr>
        <w:t>7. Database Automatic Daily Backup System</w:t>
      </w:r>
    </w:p>
    <w:p>
      <w:r>
        <w:t>Automatic daily snapshot generation (`daily_backup_YYYY-MM-DD.json`) serializing full table schemas and encrypted records with SHA-256 integrity checksums and 30-day automated rolling pruning.</w:t>
      </w:r>
    </w:p>
    <w:p>
      <w:pPr>
        <w:pStyle w:val="Heading1"/>
        <w:spacing w:before="280" w:after="80"/>
      </w:pPr>
      <w:r>
        <w:rPr>
          <w:rFonts w:ascii="Calibri" w:hAnsi="Calibri"/>
          <w:b/>
          <w:color w:val="107846"/>
          <w:sz w:val="36"/>
        </w:rPr>
        <w:t>8. "The Blackout" Universal Disaster Recovery &amp; Self-Healing Engine</w:t>
      </w:r>
    </w:p>
    <w:p>
      <w:r>
        <w:t>1) Append-only Write-Ahead Shadow Journal (`data/wal_journal.jsonl`) capturing in-flight database mutations with transaction UUIDs; 2) High-Availability Shadow Cache (`data/ha_cache.json`) serving 0ms downtime traffic during primary database corruption; 3) Autonomous Point-in-Time Self-Healing &amp; WAL Replay Pipeline restoring baseline schemas and replaying mutations with 0% data loss under 2.5 seconds.</w:t>
      </w:r>
    </w:p>
    <w:p>
      <w:pPr>
        <w:pStyle w:val="Heading1"/>
        <w:spacing w:before="280" w:after="80"/>
      </w:pPr>
      <w:r>
        <w:rPr>
          <w:rFonts w:ascii="Calibri" w:hAnsi="Calibri"/>
          <w:b/>
          <w:color w:val="107846"/>
          <w:sz w:val="36"/>
        </w:rPr>
        <w:t>9. Automated Offsite Disaster Recovery into Google Drive</w:t>
      </w:r>
    </w:p>
    <w:p>
      <w:r>
        <w:t>Zero-touch automated daily backup to user's personal Google Drive folder (`FASAL_Disaster_Backups`) via serverless Google Apps Script webhook. Uploads both a standalone executable MySQL dump (`FASAL_DATABASE_DUMP_...sql`) and master bundle (`FASAL_DISASTER_BUNDLE_...json`) containing DB snapshot, env.php, config.php, and WAL logs.</w:t>
      </w:r>
    </w:p>
    <w:p>
      <w:pPr>
        <w:pStyle w:val="Heading1"/>
        <w:spacing w:before="280" w:after="80"/>
      </w:pPr>
      <w:r>
        <w:rPr>
          <w:rFonts w:ascii="Calibri" w:hAnsi="Calibri"/>
          <w:b/>
          <w:color w:val="107846"/>
          <w:sz w:val="36"/>
        </w:rPr>
        <w:t>10. "The Bad Reading" Epistemic Security &amp; Truth Defense Architecture</w:t>
      </w:r>
    </w:p>
    <w:p>
      <w:pPr>
        <w:spacing w:line="276" w:lineRule="auto"/>
      </w:pPr>
      <w:r>
        <w:t>The Bad Reading is a critical epistemic crisis: viral misinformation, unscientific farm remedies, fraudulent government scheme rumors, and coordinated smear complaints spread rapidly among farmers, threatening crop yields, financial security, and platform trust. FASAL defends against this threat through the 'Satya-Rakshak' (सत्य-रक्षक) Multi-Tier Verification Protocol (`includes/factcheck_engine.php` &amp; `factcheck.php`):</w:t>
      </w:r>
    </w:p>
    <w:p>
      <w:pPr>
        <w:pStyle w:val="Heading2"/>
        <w:spacing w:before="280" w:after="80"/>
      </w:pPr>
      <w:r>
        <w:rPr>
          <w:rFonts w:ascii="Calibri" w:hAnsi="Calibri"/>
          <w:b/>
          <w:color w:val="1E40AF"/>
          <w:sz w:val="28"/>
        </w:rPr>
        <w:t>10.1 Ground-Truth Triangulation Engine</w:t>
      </w:r>
    </w:p>
    <w:p>
      <w:r>
        <w:t>When any claim, WhatsApp forward, remedy, or scheme rumor enters the platform, Satya-Rakshak triangulates it across 3 authoritative ground truths:</w:t>
      </w:r>
    </w:p>
    <w:p>
      <w:pPr>
        <w:pStyle w:val="ListBullet"/>
      </w:pPr>
      <w:r>
        <w:rPr>
          <w:b/>
        </w:rPr>
        <w:t xml:space="preserve">1. ICAR &amp; Agricultural University Agronomy Grounding: </w:t>
      </w:r>
      <w:r>
        <w:t>Cross-references agronomy remedies against Mahatma Phule Krishi Vidyapeeth (MPKV), Rahuri and Central Insecticides Board (CIBRC) approved chemicals, instantly flagging dangerous concoctions (e.g. Salt+Urea spray on onion crops).</w:t>
      </w:r>
    </w:p>
    <w:p>
      <w:pPr>
        <w:pStyle w:val="ListBullet"/>
      </w:pPr>
      <w:r>
        <w:rPr>
          <w:b/>
        </w:rPr>
        <w:t xml:space="preserve">2. Official Government Resolution (GR) Registry: </w:t>
      </w:r>
      <w:r>
        <w:t>Validates scheme status directly against MahaDBT, PM-Kisan, and Maharashtra Agriculture Department Government Resolutions (GRs), actively debunking false rumors of scheme cancellation.</w:t>
      </w:r>
    </w:p>
    <w:p>
      <w:pPr>
        <w:pStyle w:val="ListBullet"/>
      </w:pPr>
      <w:r>
        <w:rPr>
          <w:b/>
        </w:rPr>
        <w:t xml:space="preserve">3. Bot Syndicate &amp; Coordinated Smear Detection: </w:t>
      </w:r>
      <w:r>
        <w:t>Analyzes complaint submission entropy, client IP clusters, and transaction history. Coordinated fake complaints designed to damage rival FPOs or vendors are automatically quarantined with lab certification audits.</w:t>
      </w:r>
    </w:p>
    <w:p>
      <w:pPr>
        <w:pStyle w:val="Heading2"/>
        <w:spacing w:before="280" w:after="80"/>
      </w:pPr>
      <w:r>
        <w:rPr>
          <w:rFonts w:ascii="Calibri" w:hAnsi="Calibri"/>
          <w:b/>
          <w:color w:val="1E40AF"/>
          <w:sz w:val="28"/>
        </w:rPr>
        <w:t>10.2 Live Truth Radar &amp; WhatsApp Viral Rumor Buster</w:t>
      </w:r>
    </w:p>
    <w:p>
      <w:r>
        <w:t>FASAL provides an active public-facing Truth Radar (`/factcheck`):</w:t>
      </w:r>
    </w:p>
    <w:p>
      <w:pPr>
        <w:pStyle w:val="ListBullet"/>
      </w:pPr>
      <w:r>
        <w:rPr>
          <w:b/>
        </w:rPr>
        <w:t xml:space="preserve">AI-Powered Real-Time Verification Scanner: </w:t>
      </w:r>
      <w:r>
        <w:t>Farmers paste text from WhatsApp forwards; the system returns an immediate Truth Score (0-100%), Scientific Verdict, Official Authority Reference, and Action Guidance.</w:t>
      </w:r>
    </w:p>
    <w:p>
      <w:pPr>
        <w:pStyle w:val="ListBullet"/>
      </w:pPr>
      <w:r>
        <w:rPr>
          <w:b/>
        </w:rPr>
        <w:t xml:space="preserve">1-Click WhatsApp Debunk Broadcast: </w:t>
      </w:r>
      <w:r>
        <w:t>Generates formatted Devanagari fact-check share cards allowing farmers to forward the official scientific debunk directly back into WhatsApp farmer groups, killing rumors at their source.</w:t>
      </w:r>
    </w:p>
    <w:p>
      <w:pPr>
        <w:pStyle w:val="Heading1"/>
        <w:spacing w:before="280" w:after="80"/>
      </w:pPr>
      <w:r>
        <w:rPr>
          <w:rFonts w:ascii="Calibri" w:hAnsi="Calibri"/>
          <w:b/>
          <w:color w:val="107846"/>
          <w:sz w:val="36"/>
        </w:rPr>
        <w:t>11. Security &amp; Resilience Compliance Matrix</w:t>
      </w:r>
    </w:p>
    <w:tbl>
      <w:tblPr>
        <w:tblW w:type="auto" w:w="0"/>
        <w:jc w:val="center"/>
        <w:tblLook w:firstColumn="1" w:firstRow="1" w:lastColumn="0" w:lastRow="0" w:noHBand="0" w:noVBand="1" w:val="04A0"/>
      </w:tblPr>
      <w:tblGrid>
        <w:gridCol w:w="2484"/>
        <w:gridCol w:w="2484"/>
        <w:gridCol w:w="2484"/>
        <w:gridCol w:w="2484"/>
      </w:tblGrid>
      <w:tr>
        <w:tc>
          <w:tcPr>
            <w:tcW w:type="dxa" w:w="2484"/>
            <w:shd w:fill="065F46"/>
            <w:tcMar>
              <w:top w:w="100" w:type="dxa"/>
              <w:bottom w:w="100" w:type="dxa"/>
              <w:left w:w="120" w:type="dxa"/>
              <w:right w:w="120" w:type="dxa"/>
            </w:tcMar>
          </w:tcPr>
          <w:p>
            <w:r>
              <w:rPr>
                <w:rFonts w:ascii="Calibri" w:hAnsi="Calibri"/>
                <w:b/>
                <w:color w:val="FFFFFF"/>
                <w:sz w:val="19"/>
              </w:rPr>
              <w:t>Threat / Parameter</w:t>
            </w:r>
          </w:p>
        </w:tc>
        <w:tc>
          <w:tcPr>
            <w:tcW w:type="dxa" w:w="2484"/>
            <w:shd w:fill="065F46"/>
            <w:tcMar>
              <w:top w:w="100" w:type="dxa"/>
              <w:bottom w:w="100" w:type="dxa"/>
              <w:left w:w="120" w:type="dxa"/>
              <w:right w:w="120" w:type="dxa"/>
            </w:tcMar>
          </w:tcPr>
          <w:p>
            <w:r>
              <w:rPr>
                <w:rFonts w:ascii="Calibri" w:hAnsi="Calibri"/>
                <w:b/>
                <w:color w:val="FFFFFF"/>
                <w:sz w:val="19"/>
              </w:rPr>
              <w:t>Primary Mechanism</w:t>
            </w:r>
          </w:p>
        </w:tc>
        <w:tc>
          <w:tcPr>
            <w:tcW w:type="dxa" w:w="2484"/>
            <w:shd w:fill="065F46"/>
            <w:tcMar>
              <w:top w:w="100" w:type="dxa"/>
              <w:bottom w:w="100" w:type="dxa"/>
              <w:left w:w="120" w:type="dxa"/>
              <w:right w:w="120" w:type="dxa"/>
            </w:tcMar>
          </w:tcPr>
          <w:p>
            <w:r>
              <w:rPr>
                <w:rFonts w:ascii="Calibri" w:hAnsi="Calibri"/>
                <w:b/>
                <w:color w:val="FFFFFF"/>
                <w:sz w:val="19"/>
              </w:rPr>
              <w:t>Standard / Algorithm</w:t>
            </w:r>
          </w:p>
        </w:tc>
        <w:tc>
          <w:tcPr>
            <w:tcW w:type="dxa" w:w="2484"/>
            <w:shd w:fill="065F46"/>
            <w:tcMar>
              <w:top w:w="100" w:type="dxa"/>
              <w:bottom w:w="100" w:type="dxa"/>
              <w:left w:w="120" w:type="dxa"/>
              <w:right w:w="120" w:type="dxa"/>
            </w:tcMar>
          </w:tcPr>
          <w:p>
            <w:r>
              <w:rPr>
                <w:rFonts w:ascii="Calibri" w:hAnsi="Calibri"/>
                <w:b/>
                <w:color w:val="FFFFFF"/>
                <w:sz w:val="19"/>
              </w:rPr>
              <w:t>Verification Status</w:t>
            </w:r>
          </w:p>
        </w:tc>
      </w:tr>
      <w:tr>
        <w:tc>
          <w:tcPr>
            <w:tcW w:type="dxa" w:w="2484"/>
            <w:shd w:fill="F8FAFC"/>
            <w:tcMar>
              <w:top w:w="80" w:type="dxa"/>
              <w:bottom w:w="80" w:type="dxa"/>
              <w:left w:w="100" w:type="dxa"/>
              <w:right w:w="100" w:type="dxa"/>
            </w:tcMar>
          </w:tcPr>
          <w:p>
            <w:r>
              <w:rPr>
                <w:rFonts w:ascii="Calibri" w:hAnsi="Calibri"/>
                <w:b/>
                <w:color w:val="0F172A"/>
                <w:sz w:val="17"/>
              </w:rPr>
              <w:t>Data at Rest Encryption</w:t>
            </w:r>
          </w:p>
        </w:tc>
        <w:tc>
          <w:tcPr>
            <w:tcW w:type="dxa" w:w="2484"/>
            <w:shd w:fill="F8FAFC"/>
            <w:tcMar>
              <w:top w:w="80" w:type="dxa"/>
              <w:bottom w:w="80" w:type="dxa"/>
              <w:left w:w="100" w:type="dxa"/>
              <w:right w:w="100" w:type="dxa"/>
            </w:tcMar>
          </w:tcPr>
          <w:p>
            <w:r>
              <w:rPr>
                <w:rFonts w:ascii="Calibri" w:hAnsi="Calibri"/>
                <w:color w:val="334155"/>
                <w:sz w:val="17"/>
              </w:rPr>
              <w:t>HybridCrypto Encrypt-then-MAC</w:t>
            </w:r>
          </w:p>
        </w:tc>
        <w:tc>
          <w:tcPr>
            <w:tcW w:type="dxa" w:w="2484"/>
            <w:shd w:fill="F8FAFC"/>
            <w:tcMar>
              <w:top w:w="80" w:type="dxa"/>
              <w:bottom w:w="80" w:type="dxa"/>
              <w:left w:w="100" w:type="dxa"/>
              <w:right w:w="100" w:type="dxa"/>
            </w:tcMar>
          </w:tcPr>
          <w:p>
            <w:r>
              <w:rPr>
                <w:rFonts w:ascii="Calibri" w:hAnsi="Calibri"/>
                <w:color w:val="334155"/>
                <w:sz w:val="17"/>
              </w:rPr>
              <w:t>AES-256-CBC + HMAC-SHA256</w:t>
            </w:r>
          </w:p>
        </w:tc>
        <w:tc>
          <w:tcPr>
            <w:tcW w:type="dxa" w:w="2484"/>
            <w:shd w:fill="F8FAFC"/>
            <w:tcMar>
              <w:top w:w="80" w:type="dxa"/>
              <w:bottom w:w="80" w:type="dxa"/>
              <w:left w:w="100" w:type="dxa"/>
              <w:right w:w="100" w:type="dxa"/>
            </w:tcMar>
          </w:tcPr>
          <w:p>
            <w:r>
              <w:rPr>
                <w:rFonts w:ascii="Calibri" w:hAnsi="Calibri"/>
                <w:b/>
                <w:color w:val="059669"/>
                <w:sz w:val="17"/>
              </w:rPr>
              <w:t>PASS (Verified)</w:t>
            </w:r>
          </w:p>
        </w:tc>
      </w:tr>
      <w:tr>
        <w:tc>
          <w:tcPr>
            <w:tcW w:type="dxa" w:w="2484"/>
            <w:shd w:fill="FFFFFF"/>
            <w:tcMar>
              <w:top w:w="80" w:type="dxa"/>
              <w:bottom w:w="80" w:type="dxa"/>
              <w:left w:w="100" w:type="dxa"/>
              <w:right w:w="100" w:type="dxa"/>
            </w:tcMar>
          </w:tcPr>
          <w:p>
            <w:r>
              <w:rPr>
                <w:rFonts w:ascii="Calibri" w:hAnsi="Calibri"/>
                <w:b/>
                <w:color w:val="0F172A"/>
                <w:sz w:val="17"/>
              </w:rPr>
              <w:t>Searchable Encrypted Data</w:t>
            </w:r>
          </w:p>
        </w:tc>
        <w:tc>
          <w:tcPr>
            <w:tcW w:type="dxa" w:w="2484"/>
            <w:shd w:fill="FFFFFF"/>
            <w:tcMar>
              <w:top w:w="80" w:type="dxa"/>
              <w:bottom w:w="80" w:type="dxa"/>
              <w:left w:w="100" w:type="dxa"/>
              <w:right w:w="100" w:type="dxa"/>
            </w:tcMar>
          </w:tcPr>
          <w:p>
            <w:r>
              <w:rPr>
                <w:rFonts w:ascii="Calibri" w:hAnsi="Calibri"/>
                <w:color w:val="334155"/>
                <w:sz w:val="17"/>
              </w:rPr>
              <w:t>Deterministic Blind Indexing</w:t>
            </w:r>
          </w:p>
        </w:tc>
        <w:tc>
          <w:tcPr>
            <w:tcW w:type="dxa" w:w="2484"/>
            <w:shd w:fill="FFFFFF"/>
            <w:tcMar>
              <w:top w:w="80" w:type="dxa"/>
              <w:bottom w:w="80" w:type="dxa"/>
              <w:left w:w="100" w:type="dxa"/>
              <w:right w:w="100" w:type="dxa"/>
            </w:tcMar>
          </w:tcPr>
          <w:p>
            <w:r>
              <w:rPr>
                <w:rFonts w:ascii="Calibri" w:hAnsi="Calibri"/>
                <w:color w:val="334155"/>
                <w:sz w:val="17"/>
              </w:rPr>
              <w:t>HMAC-SHA256 with Pepper</w:t>
            </w:r>
          </w:p>
        </w:tc>
        <w:tc>
          <w:tcPr>
            <w:tcW w:type="dxa" w:w="2484"/>
            <w:shd w:fill="FFFFFF"/>
            <w:tcMar>
              <w:top w:w="80" w:type="dxa"/>
              <w:bottom w:w="80" w:type="dxa"/>
              <w:left w:w="100" w:type="dxa"/>
              <w:right w:w="100" w:type="dxa"/>
            </w:tcMar>
          </w:tcPr>
          <w:p>
            <w:r>
              <w:rPr>
                <w:rFonts w:ascii="Calibri" w:hAnsi="Calibri"/>
                <w:b/>
                <w:color w:val="059669"/>
                <w:sz w:val="17"/>
              </w:rPr>
              <w:t>PASS (Verified)</w:t>
            </w:r>
          </w:p>
        </w:tc>
      </w:tr>
      <w:tr>
        <w:tc>
          <w:tcPr>
            <w:tcW w:type="dxa" w:w="2484"/>
            <w:shd w:fill="F8FAFC"/>
            <w:tcMar>
              <w:top w:w="80" w:type="dxa"/>
              <w:bottom w:w="80" w:type="dxa"/>
              <w:left w:w="100" w:type="dxa"/>
              <w:right w:w="100" w:type="dxa"/>
            </w:tcMar>
          </w:tcPr>
          <w:p>
            <w:r>
              <w:rPr>
                <w:rFonts w:ascii="Calibri" w:hAnsi="Calibri"/>
                <w:b/>
                <w:color w:val="0F172A"/>
                <w:sz w:val="17"/>
              </w:rPr>
              <w:t>SQL Injection (SQLi)</w:t>
            </w:r>
          </w:p>
        </w:tc>
        <w:tc>
          <w:tcPr>
            <w:tcW w:type="dxa" w:w="2484"/>
            <w:shd w:fill="F8FAFC"/>
            <w:tcMar>
              <w:top w:w="80" w:type="dxa"/>
              <w:bottom w:w="80" w:type="dxa"/>
              <w:left w:w="100" w:type="dxa"/>
              <w:right w:w="100" w:type="dxa"/>
            </w:tcMar>
          </w:tcPr>
          <w:p>
            <w:r>
              <w:rPr>
                <w:rFonts w:ascii="Calibri" w:hAnsi="Calibri"/>
                <w:color w:val="334155"/>
                <w:sz w:val="17"/>
              </w:rPr>
              <w:t>PDO Prepared Statements</w:t>
            </w:r>
          </w:p>
        </w:tc>
        <w:tc>
          <w:tcPr>
            <w:tcW w:type="dxa" w:w="2484"/>
            <w:shd w:fill="F8FAFC"/>
            <w:tcMar>
              <w:top w:w="80" w:type="dxa"/>
              <w:bottom w:w="80" w:type="dxa"/>
              <w:left w:w="100" w:type="dxa"/>
              <w:right w:w="100" w:type="dxa"/>
            </w:tcMar>
          </w:tcPr>
          <w:p>
            <w:r>
              <w:rPr>
                <w:rFonts w:ascii="Calibri" w:hAnsi="Calibri"/>
                <w:color w:val="334155"/>
                <w:sz w:val="17"/>
              </w:rPr>
              <w:t>Parameterized Native Binding</w:t>
            </w:r>
          </w:p>
        </w:tc>
        <w:tc>
          <w:tcPr>
            <w:tcW w:type="dxa" w:w="2484"/>
            <w:shd w:fill="F8FAFC"/>
            <w:tcMar>
              <w:top w:w="80" w:type="dxa"/>
              <w:bottom w:w="80" w:type="dxa"/>
              <w:left w:w="100" w:type="dxa"/>
              <w:right w:w="100" w:type="dxa"/>
            </w:tcMar>
          </w:tcPr>
          <w:p>
            <w:r>
              <w:rPr>
                <w:rFonts w:ascii="Calibri" w:hAnsi="Calibri"/>
                <w:b/>
                <w:color w:val="059669"/>
                <w:sz w:val="17"/>
              </w:rPr>
              <w:t>PASS (Verified)</w:t>
            </w:r>
          </w:p>
        </w:tc>
      </w:tr>
      <w:tr>
        <w:tc>
          <w:tcPr>
            <w:tcW w:type="dxa" w:w="2484"/>
            <w:shd w:fill="FFFFFF"/>
            <w:tcMar>
              <w:top w:w="80" w:type="dxa"/>
              <w:bottom w:w="80" w:type="dxa"/>
              <w:left w:w="100" w:type="dxa"/>
              <w:right w:w="100" w:type="dxa"/>
            </w:tcMar>
          </w:tcPr>
          <w:p>
            <w:r>
              <w:rPr>
                <w:rFonts w:ascii="Calibri" w:hAnsi="Calibri"/>
                <w:b/>
                <w:color w:val="0F172A"/>
                <w:sz w:val="17"/>
              </w:rPr>
              <w:t>Cross-Site Scripting (XSS)</w:t>
            </w:r>
          </w:p>
        </w:tc>
        <w:tc>
          <w:tcPr>
            <w:tcW w:type="dxa" w:w="2484"/>
            <w:shd w:fill="FFFFFF"/>
            <w:tcMar>
              <w:top w:w="80" w:type="dxa"/>
              <w:bottom w:w="80" w:type="dxa"/>
              <w:left w:w="100" w:type="dxa"/>
              <w:right w:w="100" w:type="dxa"/>
            </w:tcMar>
          </w:tcPr>
          <w:p>
            <w:r>
              <w:rPr>
                <w:rFonts w:ascii="Calibri" w:hAnsi="Calibri"/>
                <w:color w:val="334155"/>
                <w:sz w:val="17"/>
              </w:rPr>
              <w:t>HTML Entity Escaping + CSP</w:t>
            </w:r>
          </w:p>
        </w:tc>
        <w:tc>
          <w:tcPr>
            <w:tcW w:type="dxa" w:w="2484"/>
            <w:shd w:fill="FFFFFF"/>
            <w:tcMar>
              <w:top w:w="80" w:type="dxa"/>
              <w:bottom w:w="80" w:type="dxa"/>
              <w:left w:w="100" w:type="dxa"/>
              <w:right w:w="100" w:type="dxa"/>
            </w:tcMar>
          </w:tcPr>
          <w:p>
            <w:r>
              <w:rPr>
                <w:rFonts w:ascii="Calibri" w:hAnsi="Calibri"/>
                <w:color w:val="334155"/>
                <w:sz w:val="17"/>
              </w:rPr>
              <w:t>htmlspecialchars(ENT_QUOTES)</w:t>
            </w:r>
          </w:p>
        </w:tc>
        <w:tc>
          <w:tcPr>
            <w:tcW w:type="dxa" w:w="2484"/>
            <w:shd w:fill="FFFFFF"/>
            <w:tcMar>
              <w:top w:w="80" w:type="dxa"/>
              <w:bottom w:w="80" w:type="dxa"/>
              <w:left w:w="100" w:type="dxa"/>
              <w:right w:w="100" w:type="dxa"/>
            </w:tcMar>
          </w:tcPr>
          <w:p>
            <w:r>
              <w:rPr>
                <w:rFonts w:ascii="Calibri" w:hAnsi="Calibri"/>
                <w:b/>
                <w:color w:val="059669"/>
                <w:sz w:val="17"/>
              </w:rPr>
              <w:t>PASS (Verified)</w:t>
            </w:r>
          </w:p>
        </w:tc>
      </w:tr>
      <w:tr>
        <w:tc>
          <w:tcPr>
            <w:tcW w:type="dxa" w:w="2484"/>
            <w:shd w:fill="F8FAFC"/>
            <w:tcMar>
              <w:top w:w="80" w:type="dxa"/>
              <w:bottom w:w="80" w:type="dxa"/>
              <w:left w:w="100" w:type="dxa"/>
              <w:right w:w="100" w:type="dxa"/>
            </w:tcMar>
          </w:tcPr>
          <w:p>
            <w:r>
              <w:rPr>
                <w:rFonts w:ascii="Calibri" w:hAnsi="Calibri"/>
                <w:b/>
                <w:color w:val="0F172A"/>
                <w:sz w:val="17"/>
              </w:rPr>
              <w:t>CSRF Attack Vector</w:t>
            </w:r>
          </w:p>
        </w:tc>
        <w:tc>
          <w:tcPr>
            <w:tcW w:type="dxa" w:w="2484"/>
            <w:shd w:fill="F8FAFC"/>
            <w:tcMar>
              <w:top w:w="80" w:type="dxa"/>
              <w:bottom w:w="80" w:type="dxa"/>
              <w:left w:w="100" w:type="dxa"/>
              <w:right w:w="100" w:type="dxa"/>
            </w:tcMar>
          </w:tcPr>
          <w:p>
            <w:r>
              <w:rPr>
                <w:rFonts w:ascii="Calibri" w:hAnsi="Calibri"/>
                <w:color w:val="334155"/>
                <w:sz w:val="17"/>
              </w:rPr>
              <w:t>Session Token Validation</w:t>
            </w:r>
          </w:p>
        </w:tc>
        <w:tc>
          <w:tcPr>
            <w:tcW w:type="dxa" w:w="2484"/>
            <w:shd w:fill="F8FAFC"/>
            <w:tcMar>
              <w:top w:w="80" w:type="dxa"/>
              <w:bottom w:w="80" w:type="dxa"/>
              <w:left w:w="100" w:type="dxa"/>
              <w:right w:w="100" w:type="dxa"/>
            </w:tcMar>
          </w:tcPr>
          <w:p>
            <w:r>
              <w:rPr>
                <w:rFonts w:ascii="Calibri" w:hAnsi="Calibri"/>
                <w:color w:val="334155"/>
                <w:sz w:val="17"/>
              </w:rPr>
              <w:t>32-byte Cryptographic Token</w:t>
            </w:r>
          </w:p>
        </w:tc>
        <w:tc>
          <w:tcPr>
            <w:tcW w:type="dxa" w:w="2484"/>
            <w:shd w:fill="F8FAFC"/>
            <w:tcMar>
              <w:top w:w="80" w:type="dxa"/>
              <w:bottom w:w="80" w:type="dxa"/>
              <w:left w:w="100" w:type="dxa"/>
              <w:right w:w="100" w:type="dxa"/>
            </w:tcMar>
          </w:tcPr>
          <w:p>
            <w:r>
              <w:rPr>
                <w:rFonts w:ascii="Calibri" w:hAnsi="Calibri"/>
                <w:b/>
                <w:color w:val="059669"/>
                <w:sz w:val="17"/>
              </w:rPr>
              <w:t>PASS (Verified)</w:t>
            </w:r>
          </w:p>
        </w:tc>
      </w:tr>
      <w:tr>
        <w:tc>
          <w:tcPr>
            <w:tcW w:type="dxa" w:w="2484"/>
            <w:shd w:fill="FFFFFF"/>
            <w:tcMar>
              <w:top w:w="80" w:type="dxa"/>
              <w:bottom w:w="80" w:type="dxa"/>
              <w:left w:w="100" w:type="dxa"/>
              <w:right w:w="100" w:type="dxa"/>
            </w:tcMar>
          </w:tcPr>
          <w:p>
            <w:r>
              <w:rPr>
                <w:rFonts w:ascii="Calibri" w:hAnsi="Calibri"/>
                <w:b/>
                <w:color w:val="0F172A"/>
                <w:sz w:val="17"/>
              </w:rPr>
              <w:t>DoS &amp; DDoS Protection</w:t>
            </w:r>
          </w:p>
        </w:tc>
        <w:tc>
          <w:tcPr>
            <w:tcW w:type="dxa" w:w="2484"/>
            <w:shd w:fill="FFFFFF"/>
            <w:tcMar>
              <w:top w:w="80" w:type="dxa"/>
              <w:bottom w:w="80" w:type="dxa"/>
              <w:left w:w="100" w:type="dxa"/>
              <w:right w:w="100" w:type="dxa"/>
            </w:tcMar>
          </w:tcPr>
          <w:p>
            <w:r>
              <w:rPr>
                <w:rFonts w:ascii="Calibri" w:hAnsi="Calibri"/>
                <w:color w:val="334155"/>
                <w:sz w:val="17"/>
              </w:rPr>
              <w:t>Rate Limiter + IP Jail + Honeypot</w:t>
            </w:r>
          </w:p>
        </w:tc>
        <w:tc>
          <w:tcPr>
            <w:tcW w:type="dxa" w:w="2484"/>
            <w:shd w:fill="FFFFFF"/>
            <w:tcMar>
              <w:top w:w="80" w:type="dxa"/>
              <w:bottom w:w="80" w:type="dxa"/>
              <w:left w:w="100" w:type="dxa"/>
              <w:right w:w="100" w:type="dxa"/>
            </w:tcMar>
          </w:tcPr>
          <w:p>
            <w:r>
              <w:rPr>
                <w:rFonts w:ascii="Calibri" w:hAnsi="Calibri"/>
                <w:color w:val="334155"/>
                <w:sz w:val="17"/>
              </w:rPr>
              <w:t>Sliding Window 120 req/min</w:t>
            </w:r>
          </w:p>
        </w:tc>
        <w:tc>
          <w:tcPr>
            <w:tcW w:type="dxa" w:w="2484"/>
            <w:shd w:fill="FFFFFF"/>
            <w:tcMar>
              <w:top w:w="80" w:type="dxa"/>
              <w:bottom w:w="80" w:type="dxa"/>
              <w:left w:w="100" w:type="dxa"/>
              <w:right w:w="100" w:type="dxa"/>
            </w:tcMar>
          </w:tcPr>
          <w:p>
            <w:r>
              <w:rPr>
                <w:rFonts w:ascii="Calibri" w:hAnsi="Calibri"/>
                <w:b/>
                <w:color w:val="059669"/>
                <w:sz w:val="17"/>
              </w:rPr>
              <w:t>PASS (Verified)</w:t>
            </w:r>
          </w:p>
        </w:tc>
      </w:tr>
      <w:tr>
        <w:tc>
          <w:tcPr>
            <w:tcW w:type="dxa" w:w="2484"/>
            <w:shd w:fill="F8FAFC"/>
            <w:tcMar>
              <w:top w:w="80" w:type="dxa"/>
              <w:bottom w:w="80" w:type="dxa"/>
              <w:left w:w="100" w:type="dxa"/>
              <w:right w:w="100" w:type="dxa"/>
            </w:tcMar>
          </w:tcPr>
          <w:p>
            <w:r>
              <w:rPr>
                <w:rFonts w:ascii="Calibri" w:hAnsi="Calibri"/>
                <w:b/>
                <w:color w:val="0F172A"/>
                <w:sz w:val="17"/>
              </w:rPr>
              <w:t>The Blackout Disaster</w:t>
            </w:r>
          </w:p>
        </w:tc>
        <w:tc>
          <w:tcPr>
            <w:tcW w:type="dxa" w:w="2484"/>
            <w:shd w:fill="F8FAFC"/>
            <w:tcMar>
              <w:top w:w="80" w:type="dxa"/>
              <w:bottom w:w="80" w:type="dxa"/>
              <w:left w:w="100" w:type="dxa"/>
              <w:right w:w="100" w:type="dxa"/>
            </w:tcMar>
          </w:tcPr>
          <w:p>
            <w:r>
              <w:rPr>
                <w:rFonts w:ascii="Calibri" w:hAnsi="Calibri"/>
                <w:color w:val="334155"/>
                <w:sz w:val="17"/>
              </w:rPr>
              <w:t>WAL Journal + HA Cache + Auto-Heal</w:t>
            </w:r>
          </w:p>
        </w:tc>
        <w:tc>
          <w:tcPr>
            <w:tcW w:type="dxa" w:w="2484"/>
            <w:shd w:fill="F8FAFC"/>
            <w:tcMar>
              <w:top w:w="80" w:type="dxa"/>
              <w:bottom w:w="80" w:type="dxa"/>
              <w:left w:w="100" w:type="dxa"/>
              <w:right w:w="100" w:type="dxa"/>
            </w:tcMar>
          </w:tcPr>
          <w:p>
            <w:r>
              <w:rPr>
                <w:rFonts w:ascii="Calibri" w:hAnsi="Calibri"/>
                <w:color w:val="334155"/>
                <w:sz w:val="17"/>
              </w:rPr>
              <w:t>JSONL Write-Ahead Log + Snapshot</w:t>
            </w:r>
          </w:p>
        </w:tc>
        <w:tc>
          <w:tcPr>
            <w:tcW w:type="dxa" w:w="2484"/>
            <w:shd w:fill="F8FAFC"/>
            <w:tcMar>
              <w:top w:w="80" w:type="dxa"/>
              <w:bottom w:w="80" w:type="dxa"/>
              <w:left w:w="100" w:type="dxa"/>
              <w:right w:w="100" w:type="dxa"/>
            </w:tcMar>
          </w:tcPr>
          <w:p>
            <w:r>
              <w:rPr>
                <w:rFonts w:ascii="Calibri" w:hAnsi="Calibri"/>
                <w:b/>
                <w:color w:val="059669"/>
                <w:sz w:val="17"/>
              </w:rPr>
              <w:t>PASS (0% Data Loss)</w:t>
            </w:r>
          </w:p>
        </w:tc>
      </w:tr>
      <w:tr>
        <w:tc>
          <w:tcPr>
            <w:tcW w:type="dxa" w:w="2484"/>
            <w:shd w:fill="FFFFFF"/>
            <w:tcMar>
              <w:top w:w="80" w:type="dxa"/>
              <w:bottom w:w="80" w:type="dxa"/>
              <w:left w:w="100" w:type="dxa"/>
              <w:right w:w="100" w:type="dxa"/>
            </w:tcMar>
          </w:tcPr>
          <w:p>
            <w:r>
              <w:rPr>
                <w:rFonts w:ascii="Calibri" w:hAnsi="Calibri"/>
                <w:b/>
                <w:color w:val="0F172A"/>
                <w:sz w:val="17"/>
              </w:rPr>
              <w:t>Offsite Disaster Backup</w:t>
            </w:r>
          </w:p>
        </w:tc>
        <w:tc>
          <w:tcPr>
            <w:tcW w:type="dxa" w:w="2484"/>
            <w:shd w:fill="FFFFFF"/>
            <w:tcMar>
              <w:top w:w="80" w:type="dxa"/>
              <w:bottom w:w="80" w:type="dxa"/>
              <w:left w:w="100" w:type="dxa"/>
              <w:right w:w="100" w:type="dxa"/>
            </w:tcMar>
          </w:tcPr>
          <w:p>
            <w:r>
              <w:rPr>
                <w:rFonts w:ascii="Calibri" w:hAnsi="Calibri"/>
                <w:color w:val="334155"/>
                <w:sz w:val="17"/>
              </w:rPr>
              <w:t>Google Drive Automated Sync</w:t>
            </w:r>
          </w:p>
        </w:tc>
        <w:tc>
          <w:tcPr>
            <w:tcW w:type="dxa" w:w="2484"/>
            <w:shd w:fill="FFFFFF"/>
            <w:tcMar>
              <w:top w:w="80" w:type="dxa"/>
              <w:bottom w:w="80" w:type="dxa"/>
              <w:left w:w="100" w:type="dxa"/>
              <w:right w:w="100" w:type="dxa"/>
            </w:tcMar>
          </w:tcPr>
          <w:p>
            <w:r>
              <w:rPr>
                <w:rFonts w:ascii="Calibri" w:hAnsi="Calibri"/>
                <w:color w:val="334155"/>
                <w:sz w:val="17"/>
              </w:rPr>
              <w:t>Direct .SQL Dump + Bundle</w:t>
            </w:r>
          </w:p>
        </w:tc>
        <w:tc>
          <w:tcPr>
            <w:tcW w:type="dxa" w:w="2484"/>
            <w:shd w:fill="FFFFFF"/>
            <w:tcMar>
              <w:top w:w="80" w:type="dxa"/>
              <w:bottom w:w="80" w:type="dxa"/>
              <w:left w:w="100" w:type="dxa"/>
              <w:right w:w="100" w:type="dxa"/>
            </w:tcMar>
          </w:tcPr>
          <w:p>
            <w:r>
              <w:rPr>
                <w:rFonts w:ascii="Calibri" w:hAnsi="Calibri"/>
                <w:b/>
                <w:color w:val="059669"/>
                <w:sz w:val="17"/>
              </w:rPr>
              <w:t>PASS (Live in Drive)</w:t>
            </w:r>
          </w:p>
        </w:tc>
      </w:tr>
      <w:tr>
        <w:tc>
          <w:tcPr>
            <w:tcW w:type="dxa" w:w="2484"/>
            <w:shd w:fill="F8FAFC"/>
            <w:tcMar>
              <w:top w:w="80" w:type="dxa"/>
              <w:bottom w:w="80" w:type="dxa"/>
              <w:left w:w="100" w:type="dxa"/>
              <w:right w:w="100" w:type="dxa"/>
            </w:tcMar>
          </w:tcPr>
          <w:p>
            <w:r>
              <w:rPr>
                <w:rFonts w:ascii="Calibri" w:hAnsi="Calibri"/>
                <w:b/>
                <w:color w:val="0F172A"/>
                <w:sz w:val="17"/>
              </w:rPr>
              <w:t>The Bad Reading Misinformation</w:t>
            </w:r>
          </w:p>
        </w:tc>
        <w:tc>
          <w:tcPr>
            <w:tcW w:type="dxa" w:w="2484"/>
            <w:shd w:fill="F8FAFC"/>
            <w:tcMar>
              <w:top w:w="80" w:type="dxa"/>
              <w:bottom w:w="80" w:type="dxa"/>
              <w:left w:w="100" w:type="dxa"/>
              <w:right w:w="100" w:type="dxa"/>
            </w:tcMar>
          </w:tcPr>
          <w:p>
            <w:r>
              <w:rPr>
                <w:rFonts w:ascii="Calibri" w:hAnsi="Calibri"/>
                <w:color w:val="334155"/>
                <w:sz w:val="17"/>
              </w:rPr>
              <w:t>Satya-Rakshak Multi-Ontology</w:t>
            </w:r>
          </w:p>
        </w:tc>
        <w:tc>
          <w:tcPr>
            <w:tcW w:type="dxa" w:w="2484"/>
            <w:shd w:fill="F8FAFC"/>
            <w:tcMar>
              <w:top w:w="80" w:type="dxa"/>
              <w:bottom w:w="80" w:type="dxa"/>
              <w:left w:w="100" w:type="dxa"/>
              <w:right w:w="100" w:type="dxa"/>
            </w:tcMar>
          </w:tcPr>
          <w:p>
            <w:r>
              <w:rPr>
                <w:rFonts w:ascii="Calibri" w:hAnsi="Calibri"/>
                <w:color w:val="334155"/>
                <w:sz w:val="17"/>
              </w:rPr>
              <w:t>ICAR/MPKV/GR Grounded Triangulation</w:t>
            </w:r>
          </w:p>
        </w:tc>
        <w:tc>
          <w:tcPr>
            <w:tcW w:type="dxa" w:w="2484"/>
            <w:shd w:fill="F8FAFC"/>
            <w:tcMar>
              <w:top w:w="80" w:type="dxa"/>
              <w:bottom w:w="80" w:type="dxa"/>
              <w:left w:w="100" w:type="dxa"/>
              <w:right w:w="100" w:type="dxa"/>
            </w:tcMar>
          </w:tcPr>
          <w:p>
            <w:r>
              <w:rPr>
                <w:rFonts w:ascii="Calibri" w:hAnsi="Calibri"/>
                <w:b/>
                <w:color w:val="059669"/>
                <w:sz w:val="17"/>
              </w:rPr>
              <w:t>PASS (Active Radar)</w:t>
            </w:r>
          </w:p>
        </w:tc>
      </w:tr>
      <w:tr>
        <w:tc>
          <w:tcPr>
            <w:tcW w:type="dxa" w:w="2484"/>
            <w:shd w:fill="FFFFFF"/>
            <w:tcMar>
              <w:top w:w="80" w:type="dxa"/>
              <w:bottom w:w="80" w:type="dxa"/>
              <w:left w:w="100" w:type="dxa"/>
              <w:right w:w="100" w:type="dxa"/>
            </w:tcMar>
          </w:tcPr>
          <w:p>
            <w:r>
              <w:rPr>
                <w:rFonts w:ascii="Calibri" w:hAnsi="Calibri"/>
                <w:b/>
                <w:color w:val="0F172A"/>
                <w:sz w:val="17"/>
              </w:rPr>
              <w:t>Coordinated Smear Defense</w:t>
            </w:r>
          </w:p>
        </w:tc>
        <w:tc>
          <w:tcPr>
            <w:tcW w:type="dxa" w:w="2484"/>
            <w:shd w:fill="FFFFFF"/>
            <w:tcMar>
              <w:top w:w="80" w:type="dxa"/>
              <w:bottom w:w="80" w:type="dxa"/>
              <w:left w:w="100" w:type="dxa"/>
              <w:right w:w="100" w:type="dxa"/>
            </w:tcMar>
          </w:tcPr>
          <w:p>
            <w:r>
              <w:rPr>
                <w:rFonts w:ascii="Calibri" w:hAnsi="Calibri"/>
                <w:color w:val="334155"/>
                <w:sz w:val="17"/>
              </w:rPr>
              <w:t>Syndicate Anomaly Quarantine</w:t>
            </w:r>
          </w:p>
        </w:tc>
        <w:tc>
          <w:tcPr>
            <w:tcW w:type="dxa" w:w="2484"/>
            <w:shd w:fill="FFFFFF"/>
            <w:tcMar>
              <w:top w:w="80" w:type="dxa"/>
              <w:bottom w:w="80" w:type="dxa"/>
              <w:left w:w="100" w:type="dxa"/>
              <w:right w:w="100" w:type="dxa"/>
            </w:tcMar>
          </w:tcPr>
          <w:p>
            <w:r>
              <w:rPr>
                <w:rFonts w:ascii="Calibri" w:hAnsi="Calibri"/>
                <w:color w:val="334155"/>
                <w:sz w:val="17"/>
              </w:rPr>
              <w:t>IP Cluster &amp; Entropy Analysis</w:t>
            </w:r>
          </w:p>
        </w:tc>
        <w:tc>
          <w:tcPr>
            <w:tcW w:type="dxa" w:w="2484"/>
            <w:shd w:fill="FFFFFF"/>
            <w:tcMar>
              <w:top w:w="80" w:type="dxa"/>
              <w:bottom w:w="80" w:type="dxa"/>
              <w:left w:w="100" w:type="dxa"/>
              <w:right w:w="100" w:type="dxa"/>
            </w:tcMar>
          </w:tcPr>
          <w:p>
            <w:r>
              <w:rPr>
                <w:rFonts w:ascii="Calibri" w:hAnsi="Calibri"/>
                <w:b/>
                <w:color w:val="059669"/>
                <w:sz w:val="17"/>
              </w:rPr>
              <w:t>PASS (Protected)</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