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065F46"/>
          <w:sz w:val="44"/>
        </w:rPr>
        <w:t>FASAL (फसल) Security Architecture &amp; Resilience Specification</w:t>
      </w:r>
    </w:p>
    <w:p>
      <w:pPr>
        <w:spacing w:after="320"/>
        <w:jc w:val="center"/>
      </w:pPr>
      <w:r>
        <w:rPr>
          <w:rFonts w:ascii="Calibri" w:hAnsi="Calibri"/>
          <w:i/>
          <w:color w:val="475569"/>
          <w:sz w:val="22"/>
        </w:rPr>
        <w:t>Comprehensive Defense-in-Depth, Cryptographic Engine, DoS/DDoS Mitigation &amp; Offsite Google Drive Disaster Recovery</w:t>
      </w:r>
    </w:p>
    <w:tbl>
      <w:tblPr>
        <w:tblW w:type="auto" w:w="0"/>
        <w:jc w:val="center"/>
        <w:tblLook w:firstColumn="1" w:firstRow="1" w:lastColumn="0" w:lastRow="0" w:noHBand="0" w:noVBand="1" w:val="04A0"/>
      </w:tblPr>
      <w:tblGrid>
        <w:gridCol w:w="2484"/>
        <w:gridCol w:w="2484"/>
        <w:gridCol w:w="2484"/>
        <w:gridCol w:w="2484"/>
      </w:tblGrid>
      <w:tr>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Project: </w:t>
            </w:r>
            <w:r>
              <w:rPr>
                <w:rFonts w:ascii="Calibri" w:hAnsi="Calibri"/>
                <w:color w:val="0F172A"/>
                <w:sz w:val="17"/>
              </w:rPr>
              <w:t>FASAL AgTech Platform</w:t>
            </w:r>
          </w:p>
        </w:tc>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Track: </w:t>
            </w:r>
            <w:r>
              <w:rPr>
                <w:rFonts w:ascii="Calibri" w:hAnsi="Calibri"/>
                <w:color w:val="0F172A"/>
                <w:sz w:val="17"/>
              </w:rPr>
              <w:t>Sanjivani Hackathon 2026</w:t>
            </w:r>
          </w:p>
        </w:tc>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Version: </w:t>
            </w:r>
            <w:r>
              <w:rPr>
                <w:rFonts w:ascii="Calibri" w:hAnsi="Calibri"/>
                <w:color w:val="0F172A"/>
                <w:sz w:val="17"/>
              </w:rPr>
              <w:t>1.1.0 (Enterprise Resilient)</w:t>
            </w:r>
          </w:p>
        </w:tc>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Status: </w:t>
            </w:r>
            <w:r>
              <w:rPr>
                <w:rFonts w:ascii="Calibri" w:hAnsi="Calibri"/>
                <w:color w:val="0F172A"/>
                <w:sz w:val="17"/>
              </w:rPr>
              <w:t>Active Protected</w:t>
            </w:r>
          </w:p>
        </w:tc>
      </w:tr>
      <w:tr>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Framework: </w:t>
            </w:r>
            <w:r>
              <w:rPr>
                <w:rFonts w:ascii="Calibri" w:hAnsi="Calibri"/>
                <w:color w:val="0F172A"/>
                <w:sz w:val="17"/>
              </w:rPr>
              <w:t>PHP 8.2 + HybridCrypto</w:t>
            </w:r>
          </w:p>
        </w:tc>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Data Store: </w:t>
            </w:r>
            <w:r>
              <w:rPr>
                <w:rFonts w:ascii="Calibri" w:hAnsi="Calibri"/>
                <w:color w:val="0F172A"/>
                <w:sz w:val="17"/>
              </w:rPr>
              <w:t>MySQL + JSONL WAL + HA Cache</w:t>
            </w:r>
          </w:p>
        </w:tc>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Crypto Standard: </w:t>
            </w:r>
            <w:r>
              <w:rPr>
                <w:rFonts w:ascii="Calibri" w:hAnsi="Calibri"/>
                <w:color w:val="0F172A"/>
                <w:sz w:val="17"/>
              </w:rPr>
              <w:t>AES-256-CBC + HMAC-SHA256</w:t>
            </w:r>
          </w:p>
        </w:tc>
        <w:tc>
          <w:tcPr>
            <w:tcW w:type="dxa" w:w="2484"/>
            <w:shd w:fill="F8FAFC"/>
            <w:tcMar>
              <w:top w:w="80" w:type="dxa"/>
              <w:bottom w:w="80" w:type="dxa"/>
              <w:left w:w="100" w:type="dxa"/>
              <w:right w:w="100" w:type="dxa"/>
            </w:tcMar>
          </w:tcPr>
          <w:p>
            <w:pPr>
              <w:spacing w:before="20" w:after="20"/>
            </w:pPr>
            <w:r>
              <w:rPr>
                <w:rFonts w:ascii="Calibri" w:hAnsi="Calibri"/>
                <w:b/>
                <w:color w:val="475569"/>
                <w:sz w:val="17"/>
              </w:rPr>
              <w:t xml:space="preserve">Offsite Backup: </w:t>
            </w:r>
            <w:r>
              <w:rPr>
                <w:rFonts w:ascii="Calibri" w:hAnsi="Calibri"/>
                <w:color w:val="0F172A"/>
                <w:sz w:val="17"/>
              </w:rPr>
              <w:t>Google Drive Automated Sync</w:t>
            </w:r>
          </w:p>
        </w:tc>
      </w:tr>
    </w:tbl>
    <w:p>
      <w:pPr>
        <w:spacing w:after="160"/>
      </w:pPr>
    </w:p>
    <w:p>
      <w:pPr>
        <w:pStyle w:val="Heading1"/>
        <w:spacing w:before="280" w:after="80"/>
      </w:pPr>
      <w:r>
        <w:rPr>
          <w:rFonts w:ascii="Calibri" w:hAnsi="Calibri"/>
          <w:b/>
          <w:color w:val="107846"/>
          <w:sz w:val="36"/>
        </w:rPr>
        <w:t>1. Executive Summary &amp; Security Overview</w:t>
      </w:r>
    </w:p>
    <w:p>
      <w:pPr>
        <w:spacing w:line="276" w:lineRule="auto"/>
      </w:pPr>
      <w:r>
        <w:t>FASAL is an agronomic decision-intelligence platform engineered with an enterprise-grade, Defense-in-Depth security architecture. It protects critical farmer identity, IoT sensor telemetry, APMC market transaction intelligence, and agronomy records against modern attack vectors including SQL Injections (SQLi), Cross-Site Scripting (XSS), Cross-Site Request Forgery (CSRF), Denial-of-Service (DoS), Distributed Denial-of-Service (DDoS), credential compromise, and catastrophic mid-operation database wipeouts (The Blackout disaster scenario).</w:t>
      </w:r>
    </w:p>
    <w:tbl>
      <w:tblPr>
        <w:tblW w:type="auto" w:w="0"/>
        <w:jc w:val="center"/>
        <w:tblLayout w:type="fixed"/>
        <w:tblLook w:firstColumn="1" w:firstRow="1" w:lastColumn="0" w:lastRow="0" w:noHBand="0" w:noVBand="1" w:val="04A0"/>
      </w:tblPr>
      <w:tblGrid>
        <w:gridCol w:w="9360"/>
      </w:tblGrid>
      <w:tr>
        <w:tc>
          <w:tcPr>
            <w:tcW w:type="dxa" w:w="9936"/>
            <w:shd w:fill="F0FDF4"/>
            <w:tcMar>
              <w:top w:w="120" w:type="dxa"/>
              <w:bottom w:w="120" w:type="dxa"/>
              <w:left w:w="200" w:type="dxa"/>
              <w:right w:w="200" w:type="dxa"/>
            </w:tcMar>
            <w:tcBorders>
              <w:left w:val="single" w:sz="24" w:space="0" w:color="10B981"/>
              <w:top w:val="none"/>
              <w:right w:val="none"/>
              <w:bottom w:val="none"/>
            </w:tcBorders>
          </w:tcPr>
          <w:p>
            <w:pPr>
              <w:spacing w:before="40" w:after="40"/>
            </w:pPr>
            <w:r>
              <w:rPr>
                <w:rFonts w:ascii="Calibri" w:hAnsi="Calibri"/>
                <w:b/>
                <w:color w:val="065F46"/>
                <w:sz w:val="20"/>
              </w:rPr>
              <w:t xml:space="preserve">🔒 CORE CRYPTOGRAPHIC &amp; RESILIENCE TENET: </w:t>
            </w:r>
            <w:r>
              <w:rPr>
                <w:rFonts w:ascii="Calibri" w:hAnsi="Calibri"/>
                <w:color w:val="1E293B"/>
                <w:sz w:val="20"/>
              </w:rPr>
              <w:t>All data at rest is protected via Zero-Knowledge Encrypt-then-MAC cryptography (AES-256-CBC + HMAC-SHA256). The system retains instant searchable capability via deterministic HMAC Blind Indexing without ever exposing plaintext keys or records in database tables. In addition, offsite disaster recovery bundles (DB Snapshot + env.php + config.php + WAL journal) automatically synchronize to Google Drive.</w:t>
            </w:r>
          </w:p>
        </w:tc>
      </w:tr>
    </w:tbl>
    <w:p>
      <w:pPr>
        <w:spacing w:after="80"/>
      </w:pPr>
    </w:p>
    <w:p>
      <w:pPr>
        <w:pStyle w:val="Heading1"/>
        <w:spacing w:before="280" w:after="80"/>
      </w:pPr>
      <w:r>
        <w:rPr>
          <w:rFonts w:ascii="Calibri" w:hAnsi="Calibri"/>
          <w:b/>
          <w:color w:val="107846"/>
          <w:sz w:val="36"/>
        </w:rPr>
        <w:t>2. Cryptographic Architecture: Encryption, Decryption &amp; Blind Indexing</w:t>
      </w:r>
    </w:p>
    <w:p>
      <w:pPr>
        <w:pStyle w:val="Heading2"/>
        <w:spacing w:before="280" w:after="80"/>
      </w:pPr>
      <w:r>
        <w:rPr>
          <w:rFonts w:ascii="Calibri" w:hAnsi="Calibri"/>
          <w:b/>
          <w:color w:val="1E40AF"/>
          <w:sz w:val="28"/>
        </w:rPr>
        <w:t>2.1 Symmetric Encryption Algorithm: AES-256-CBC</w:t>
      </w:r>
    </w:p>
    <w:p>
      <w:pPr>
        <w:spacing w:line="276" w:lineRule="auto"/>
      </w:pPr>
      <w:r>
        <w:t>FASAL implements the Advanced Encryption Standard (AES) with a 256-bit symmetric cipher in Cipher Block Chaining (CBC) mode (`aes-256-cbc`). AES-256 is globally recognized by NIST and international standards as quantum-resistant for symmetric data storage.</w:t>
      </w:r>
    </w:p>
    <w:p>
      <w:pPr>
        <w:pStyle w:val="ListBullet"/>
      </w:pPr>
      <w:r>
        <w:rPr>
          <w:b/>
        </w:rPr>
        <w:t xml:space="preserve">Key Derivation: </w:t>
      </w:r>
      <w:r>
        <w:t>The master encryption key is derived using SHA-256 (`hash('sha256', $secretKey, true)`), guaranteeing a 32-byte (256-bit) cryptographically strong key space.</w:t>
      </w:r>
    </w:p>
    <w:p>
      <w:pPr>
        <w:pStyle w:val="ListBullet"/>
      </w:pPr>
      <w:r>
        <w:rPr>
          <w:b/>
        </w:rPr>
        <w:t xml:space="preserve">Cryptographically Secure Initialization Vector (IV): </w:t>
      </w:r>
      <w:r>
        <w:t>Every single encrypted record generates a unique, unpredictable 16-byte (128-bit) IV using `random_bytes(16)` or secure OS entropy. No two encryptions of identical plaintext produce the same ciphertext, defeating frequency analysis and rainbow table attacks.</w:t>
      </w:r>
    </w:p>
    <w:p>
      <w:pPr>
        <w:pStyle w:val="Heading2"/>
        <w:spacing w:before="280" w:after="80"/>
      </w:pPr>
      <w:r>
        <w:rPr>
          <w:rFonts w:ascii="Calibri" w:hAnsi="Calibri"/>
          <w:b/>
          <w:color w:val="1E40AF"/>
          <w:sz w:val="28"/>
        </w:rPr>
        <w:t>2.2 Authenticated Encryption: Encrypt-then-MAC (HMAC-SHA256)</w:t>
      </w:r>
    </w:p>
    <w:p>
      <w:pPr>
        <w:spacing w:line="276" w:lineRule="auto"/>
      </w:pPr>
      <w:r>
        <w:t>To prevent padding oracle attacks and bit-flipping ciphertext tampering, FASAL adopts the Encrypt-then-MAC paradigm. A distinct, isolated 32-byte authentication key derived from the master secret (`hash('sha256', $secretKey . '::auth_hmac', true)`) calculates a keyed-hash message authentication code (HMAC-SHA256) over the concatenation of the IV and ciphertext payload.</w:t>
      </w:r>
    </w:p>
    <w:p>
      <w:pPr>
        <w:pStyle w:val="ListBullet"/>
      </w:pPr>
      <w:r>
        <w:rPr>
          <w:b/>
        </w:rPr>
        <w:t xml:space="preserve">Constant-Time Verification: </w:t>
      </w:r>
      <w:r>
        <w:t>During decryption, the MAC is verified using `hash_equals()`, ensuring execution time is invariant regardless of character mismatch count, eliminating side-channel timing attacks.</w:t>
      </w:r>
    </w:p>
    <w:p>
      <w:pPr>
        <w:pStyle w:val="ListBullet"/>
      </w:pPr>
      <w:r>
        <w:rPr>
          <w:b/>
        </w:rPr>
        <w:t xml:space="preserve">Envelope Payload Encoding: </w:t>
      </w:r>
      <w:r>
        <w:t>The final stored payload is structured as `base64( IV [16 bytes] + HMAC [32 bytes] + Ciphertext [Variable] )`, safely packed as a self-verifying encrypted envelope.</w:t>
      </w:r>
    </w:p>
    <w:p>
      <w:pPr>
        <w:pStyle w:val="Heading2"/>
        <w:spacing w:before="280" w:after="80"/>
      </w:pPr>
      <w:r>
        <w:rPr>
          <w:rFonts w:ascii="Calibri" w:hAnsi="Calibri"/>
          <w:b/>
          <w:color w:val="1E40AF"/>
          <w:sz w:val="28"/>
        </w:rPr>
        <w:t>2.3 Searchable Encryption via Deterministic Blind Indexing</w:t>
      </w:r>
    </w:p>
    <w:p>
      <w:pPr>
        <w:spacing w:line="276" w:lineRule="auto"/>
      </w:pPr>
      <w:r>
        <w:t>Because AES-256-CBC with randomized IVs produces non-deterministic ciphertexts, indexed `WHERE` queries would normally be impossible without decrypting the entire database into server memory. FASAL resolves this with Blind Indexing:</w:t>
      </w:r>
    </w:p>
    <w:p>
      <w:pPr>
        <w:pStyle w:val="ListBullet"/>
      </w:pPr>
      <w:r>
        <w:rPr>
          <w:b/>
        </w:rPr>
        <w:t xml:space="preserve">HMAC-SHA256 Blind Index: </w:t>
      </w:r>
      <w:r>
        <w:t>A separate, secret pepper key calculates a deterministic HMAC-SHA256 hash over normalized attributes (such as farmer mobile number: `HybridCrypto::blindIndex($phone)`).</w:t>
      </w:r>
    </w:p>
    <w:p>
      <w:pPr>
        <w:pStyle w:val="ListBullet"/>
      </w:pPr>
      <w:r>
        <w:rPr>
          <w:b/>
        </w:rPr>
        <w:t xml:space="preserve">Zero-Knowledge Indexed Queries: </w:t>
      </w:r>
      <w:r>
        <w:t>Lookup queries execute as `SELECT * FROM users WHERE phone_blind_index = :bidx`. The database engine performs O(1) indexed lookups without ever learning the actual phone number.</w:t>
      </w:r>
    </w:p>
    <w:p>
      <w:pPr>
        <w:pStyle w:val="Heading2"/>
        <w:spacing w:before="280" w:after="80"/>
      </w:pPr>
      <w:r>
        <w:rPr>
          <w:rFonts w:ascii="Calibri" w:hAnsi="Calibri"/>
          <w:b/>
          <w:color w:val="1E40AF"/>
          <w:sz w:val="28"/>
        </w:rPr>
        <w:t>2.4 Password Hashing: Bcrypt with Adaptive Work Factor</w:t>
      </w:r>
    </w:p>
    <w:p>
      <w:r>
        <w:t>All user passwords are encrypted using `password_hash()` with `PASSWORD_BCRYPT` (or `PASSWORD_ARGON2ID` where supported) with a work cost of 12. Bcrypt automatically incorporates a 128-bit cryptographic salt per hash and requires exponential memory/CPU power, rendering GPU brute-force attacks infeasible.</w:t>
      </w:r>
    </w:p>
    <w:p>
      <w:pPr>
        <w:pStyle w:val="Heading1"/>
        <w:spacing w:before="280" w:after="80"/>
      </w:pPr>
      <w:r>
        <w:rPr>
          <w:rFonts w:ascii="Calibri" w:hAnsi="Calibri"/>
          <w:b/>
          <w:color w:val="107846"/>
          <w:sz w:val="36"/>
        </w:rPr>
        <w:t>3. SQL Injection (SQLi) Defense Architecture</w:t>
      </w:r>
    </w:p>
    <w:p>
      <w:r>
        <w:t>SQL Injection occurs when untrusted user input is directly concatenated into SQL strings. FASAL completely eradicates SQLi through a strict multi-layer protocol:</w:t>
      </w:r>
    </w:p>
    <w:p>
      <w:pPr>
        <w:pStyle w:val="ListBullet"/>
      </w:pPr>
      <w:r>
        <w:rPr>
          <w:b/>
        </w:rPr>
        <w:t xml:space="preserve">100% Prepared Statements (PDO): </w:t>
      </w:r>
      <w:r>
        <w:t>Every single database query across the platform is executed via PDO Prepared Statements (`$pdo-&gt;prepare()`). SQL query compilation is strictly separated from data parameter binding, making arbitrary command injection impossible.</w:t>
      </w:r>
    </w:p>
    <w:p>
      <w:pPr>
        <w:pStyle w:val="ListBullet"/>
      </w:pPr>
      <w:r>
        <w:rPr>
          <w:b/>
        </w:rPr>
        <w:t xml:space="preserve">Strict Data Type Sanitization: </w:t>
      </w:r>
      <w:r>
        <w:t>`Security::sanitizeString()` and `Security::sanitizeInt()` enforce strict sanitization, stripping null bytes (`\0`), trimming inputs, and casting scalar numeric parameters before binding.</w:t>
      </w:r>
    </w:p>
    <w:p>
      <w:pPr>
        <w:pStyle w:val="ListBullet"/>
      </w:pPr>
      <w:r>
        <w:rPr>
          <w:b/>
        </w:rPr>
        <w:t xml:space="preserve">Disabled Multi-Query Execution: </w:t>
      </w:r>
      <w:r>
        <w:t>PDO emulation of prepared statements (`ATTR_EMULATE_PREPARES =&gt; false`) is turned off to ensure native engine query isolation, blocking stacked query executions (`DROP TABLE`, `UNION SELECT`).</w:t>
      </w:r>
    </w:p>
    <w:p>
      <w:pPr>
        <w:pStyle w:val="Heading1"/>
        <w:spacing w:before="280" w:after="80"/>
      </w:pPr>
      <w:r>
        <w:rPr>
          <w:rFonts w:ascii="Calibri" w:hAnsi="Calibri"/>
          <w:b/>
          <w:color w:val="107846"/>
          <w:sz w:val="36"/>
        </w:rPr>
        <w:t>4. Cross-Site Scripting (XSS) &amp; Header Hardening</w:t>
      </w:r>
    </w:p>
    <w:p>
      <w:r>
        <w:t>Cross-Site Scripting is mitigated at both the output rendering level and the HTTP protocol header level:</w:t>
      </w:r>
    </w:p>
    <w:p>
      <w:pPr>
        <w:pStyle w:val="ListBullet"/>
      </w:pPr>
      <w:r>
        <w:rPr>
          <w:b/>
        </w:rPr>
        <w:t xml:space="preserve">Universal Context Escaping: </w:t>
      </w:r>
      <w:r>
        <w:t>All dynamic variables rendered into HTML templates are escaped via `Security::escape()` (`htmlspecialchars($data, ENT_QUOTES | ENT_SUBSTITUTE, 'UTF-8')`). This neutralizes `&lt;script&gt;`, `&lt;iframe&gt;`, `javascript:`, and attribute breakout attacks.</w:t>
      </w:r>
    </w:p>
    <w:p>
      <w:pPr>
        <w:pStyle w:val="ListBullet"/>
      </w:pPr>
      <w:r>
        <w:rPr>
          <w:b/>
        </w:rPr>
        <w:t xml:space="preserve">HTTP Security Headers: </w:t>
      </w:r>
      <w:r>
        <w:t>Every response dispatches hardened headers: `X-Content-Type-Options: nosniff` (prevents MIME sniffing), `X-Frame-Options: SAMEORIGIN` (prevents clickjacking), `X-XSS-Protection: 1; mode=block`, `Referrer-Policy: strict-origin-when-cross-origin`, and `Content-Security-Policy`.</w:t>
      </w:r>
    </w:p>
    <w:p>
      <w:pPr>
        <w:pStyle w:val="Heading1"/>
        <w:spacing w:before="280" w:after="80"/>
      </w:pPr>
      <w:r>
        <w:rPr>
          <w:rFonts w:ascii="Calibri" w:hAnsi="Calibri"/>
          <w:b/>
          <w:color w:val="107846"/>
          <w:sz w:val="36"/>
        </w:rPr>
        <w:t>5. Cross-Site Request Forgery (CSRF) Guard</w:t>
      </w:r>
    </w:p>
    <w:p>
      <w:r>
        <w:t>CSRF attacks force authenticated users to execute unintended state changes. FASAL enforces dual-channel CSRF protection:</w:t>
      </w:r>
    </w:p>
    <w:p>
      <w:pPr>
        <w:pStyle w:val="ListBullet"/>
      </w:pPr>
      <w:r>
        <w:rPr>
          <w:b/>
        </w:rPr>
        <w:t xml:space="preserve">Session-Bound Cryptographic Token: </w:t>
      </w:r>
      <w:r>
        <w:t>Generated with 32-byte cryptographic entropy (`bin2hex(random_bytes(32))`) and anchored in the authenticated session.</w:t>
      </w:r>
    </w:p>
    <w:p>
      <w:pPr>
        <w:pStyle w:val="ListBullet"/>
      </w:pPr>
      <w:r>
        <w:rPr>
          <w:b/>
        </w:rPr>
        <w:t xml:space="preserve">Dual-Channel Token Submission: </w:t>
      </w:r>
      <w:r>
        <w:t>Traditional forms embed `&lt;input type="hidden" name="csrf_token"&gt;` generated by `Security::csrfField()`. Asynchronous AJAX and Fetch API requests submit the token via the `X-CSRF-Token` HTTP header, verified automatically by `Security::validateCsrfToken()`.</w:t>
      </w:r>
    </w:p>
    <w:p>
      <w:pPr>
        <w:pStyle w:val="Heading1"/>
        <w:spacing w:before="280" w:after="80"/>
      </w:pPr>
      <w:r>
        <w:rPr>
          <w:rFonts w:ascii="Calibri" w:hAnsi="Calibri"/>
          <w:b/>
          <w:color w:val="107846"/>
          <w:sz w:val="36"/>
        </w:rPr>
        <w:t>6. Denial-of-Service (DoS) &amp; Distributed DoS (DDoS) Mitigation</w:t>
      </w:r>
    </w:p>
    <w:p>
      <w:pPr>
        <w:pStyle w:val="Heading2"/>
        <w:spacing w:before="280" w:after="80"/>
      </w:pPr>
      <w:r>
        <w:rPr>
          <w:rFonts w:ascii="Calibri" w:hAnsi="Calibri"/>
          <w:b/>
          <w:color w:val="1E40AF"/>
          <w:sz w:val="28"/>
        </w:rPr>
        <w:t>6.1 DoS Mitigation: Sliding-Window Rate Limiter &amp; Payload Bounds</w:t>
      </w:r>
    </w:p>
    <w:p>
      <w:r>
        <w:t>To prevent single-source resource exhaustion and algorithmic denial-of-service, FASAL employs:</w:t>
      </w:r>
    </w:p>
    <w:p>
      <w:pPr>
        <w:pStyle w:val="ListBullet"/>
      </w:pPr>
      <w:r>
        <w:rPr>
          <w:b/>
        </w:rPr>
        <w:t xml:space="preserve">Sliding-Window Rate Limiting (120 req/min): </w:t>
      </w:r>
      <w:r>
        <w:t>Every client IP is tracked within a sliding 60-second window. Requests exceeding 120 req/min trigger an HTTP 429 Too Many Requests response with a `Retry-After: 60` header.</w:t>
      </w:r>
    </w:p>
    <w:p>
      <w:pPr>
        <w:pStyle w:val="ListBullet"/>
      </w:pPr>
      <w:r>
        <w:rPr>
          <w:b/>
        </w:rPr>
        <w:t xml:space="preserve">Max Payload Size Enforcement: </w:t>
      </w:r>
      <w:r>
        <w:t>Incoming request bodies are limited to 2,097,152 bytes (2MB) max. Payloads exceeding this size are rejected before memory allocation, neutralizing memory bloat attacks.</w:t>
      </w:r>
    </w:p>
    <w:p>
      <w:pPr>
        <w:pStyle w:val="ListBullet"/>
      </w:pPr>
      <w:r>
        <w:rPr>
          <w:b/>
        </w:rPr>
        <w:t xml:space="preserve">Execution &amp; Socket Timeouts: </w:t>
      </w:r>
      <w:r>
        <w:t>All external outbound requests (Open-Meteo Weather, Gemini AI, ESP8266 IoT Cloud) have strict 3 to 6 second connection and execution timeouts (`CURLOPT_TIMEOUT`), preventing Slowloris thread exhaustion.</w:t>
      </w:r>
    </w:p>
    <w:p>
      <w:pPr>
        <w:pStyle w:val="Heading2"/>
        <w:spacing w:before="280" w:after="80"/>
      </w:pPr>
      <w:r>
        <w:rPr>
          <w:rFonts w:ascii="Calibri" w:hAnsi="Calibri"/>
          <w:b/>
          <w:color w:val="1E40AF"/>
          <w:sz w:val="28"/>
        </w:rPr>
        <w:t>6.2 DDoS Protection: Burst Anomaly Detection, IP Jail &amp; Honeypot</w:t>
      </w:r>
    </w:p>
    <w:p>
      <w:r>
        <w:t>For distributed traffic and botnets:</w:t>
      </w:r>
    </w:p>
    <w:p>
      <w:pPr>
        <w:pStyle w:val="ListBullet"/>
      </w:pPr>
      <w:r>
        <w:rPr>
          <w:b/>
        </w:rPr>
        <w:t xml:space="preserve">Real Client IP Resolution: </w:t>
      </w:r>
      <w:r>
        <w:t>`Security::getClientIp()` inspects `HTTP_CF_CONNECTING_IP`, `HTTP_X_FORWARDED_FOR`, and `REMOTE_ADDR` to accurately track originating IP addresses through reverse proxies and CDNs.</w:t>
      </w:r>
    </w:p>
    <w:p>
      <w:pPr>
        <w:pStyle w:val="ListBullet"/>
      </w:pPr>
      <w:r>
        <w:rPr>
          <w:b/>
        </w:rPr>
        <w:t xml:space="preserve">Automated IP Jail Ban: </w:t>
      </w:r>
      <w:r>
        <w:t>IPs that repeatedly trigger rate violations or port scans are isolated into `data/ip_jail.json` with an immediate HTTP 403 Forbidden ban lasting 300 seconds.</w:t>
      </w:r>
    </w:p>
    <w:p>
      <w:pPr>
        <w:pStyle w:val="ListBullet"/>
      </w:pPr>
      <w:r>
        <w:rPr>
          <w:b/>
        </w:rPr>
        <w:t xml:space="preserve">Invisible Honeypot Bot Trap: </w:t>
      </w:r>
      <w:r>
        <w:t>Forms include an invisible honeypot field (`website_fax_trap`). Automated bot scrapers and crawling scripts that fill this field are trapped and their requests are silently dropped with 0ms processing.</w:t>
      </w:r>
    </w:p>
    <w:p>
      <w:pPr>
        <w:pStyle w:val="Heading1"/>
        <w:spacing w:before="280" w:after="80"/>
      </w:pPr>
      <w:r>
        <w:rPr>
          <w:rFonts w:ascii="Calibri" w:hAnsi="Calibri"/>
          <w:b/>
          <w:color w:val="107846"/>
          <w:sz w:val="36"/>
        </w:rPr>
        <w:t>7. Database Automatic Daily Backup System</w:t>
      </w:r>
    </w:p>
    <w:p>
      <w:r>
        <w:t>Data persistence is safeguarded by an automated daily backup scheduler running on the server (`includes/backup.php`):</w:t>
      </w:r>
    </w:p>
    <w:p>
      <w:pPr>
        <w:pStyle w:val="ListBullet"/>
      </w:pPr>
      <w:r>
        <w:rPr>
          <w:b/>
        </w:rPr>
        <w:t xml:space="preserve">Zero-Cron Automated Check: </w:t>
      </w:r>
      <w:r>
        <w:t>On the first application request of each day, `BackupManager::checkDailyBackupAuto()` detects if `daily_backup_YYYY-MM-DD.json` exists; if missing, it automatically creates a fresh complete snapshot.</w:t>
      </w:r>
    </w:p>
    <w:p>
      <w:pPr>
        <w:pStyle w:val="ListBullet"/>
      </w:pPr>
      <w:r>
        <w:rPr>
          <w:b/>
        </w:rPr>
        <w:t xml:space="preserve">Encrypted Full-State Snapshot: </w:t>
      </w:r>
      <w:r>
        <w:t>The backup serializes full database table schemas (`SHOW CREATE TABLE`) and all encrypted row records for `users`, `iot_sensor_logs`, `mandi_prices`, `crop_advisories`, `machinery_listings`, `labour_listings`, and `otp_codes`.</w:t>
      </w:r>
    </w:p>
    <w:p>
      <w:pPr>
        <w:pStyle w:val="ListBullet"/>
      </w:pPr>
      <w:r>
        <w:rPr>
          <w:b/>
        </w:rPr>
        <w:t xml:space="preserve">SHA-256 Tamper-Proof Checksum: </w:t>
      </w:r>
      <w:r>
        <w:t>Every snapshot incorporates a SHA-256 hash of the entire dataset (`$backupData['checksum']`) to verify cryptographic integrity prior to restoration.</w:t>
      </w:r>
    </w:p>
    <w:p>
      <w:pPr>
        <w:pStyle w:val="ListBullet"/>
      </w:pPr>
      <w:r>
        <w:rPr>
          <w:b/>
        </w:rPr>
        <w:t xml:space="preserve">Rolling 30-Day Retention: </w:t>
      </w:r>
      <w:r>
        <w:t>Backups older than 30 days are automatically pruned, preventing storage exhaustion.</w:t>
      </w:r>
    </w:p>
    <w:p>
      <w:pPr>
        <w:pStyle w:val="Heading1"/>
        <w:spacing w:before="280" w:after="80"/>
      </w:pPr>
      <w:r>
        <w:rPr>
          <w:rFonts w:ascii="Calibri" w:hAnsi="Calibri"/>
          <w:b/>
          <w:color w:val="107846"/>
          <w:sz w:val="36"/>
        </w:rPr>
        <w:t>8. "The Blackout" Universal Disaster Recovery &amp; Self-Healing Engine</w:t>
      </w:r>
    </w:p>
    <w:p>
      <w:r>
        <w:t>The Blackout is a critical universal crisis scenario: the primary database or local storage is suddenly corrupted or wiped mid-operation while real transactions are in flight. FASAL solves this with an active triple-redundancy self-healing architecture (`includes/blackout_engine.php`):</w:t>
      </w:r>
    </w:p>
    <w:p>
      <w:pPr>
        <w:pStyle w:val="ListBullet"/>
      </w:pPr>
      <w:r>
        <w:rPr>
          <w:b/>
        </w:rPr>
        <w:t xml:space="preserve">1. Write-Ahead Shadow Journal (WAL): </w:t>
      </w:r>
      <w:r>
        <w:t>Every mutation (`INSERT`, `UPDATE`, `DELETE`) is immediately written to an immutable append-only journal (`data/wal_journal.jsonl`) with unique transaction UUIDs (`tx_...`), nanosecond timestamps, and SHA-256 row checksums before releasing the request.</w:t>
      </w:r>
    </w:p>
    <w:p>
      <w:pPr>
        <w:pStyle w:val="ListBullet"/>
      </w:pPr>
      <w:r>
        <w:rPr>
          <w:b/>
        </w:rPr>
        <w:t xml:space="preserve">2. High-Availability (HA) Shadow Cache: </w:t>
      </w:r>
      <w:r>
        <w:t>Mirrored in `data/ha_cache.json`. When primary database tables are dropped or corrupted, `BlackoutEngine::safeFetchAll()` transparently switches traffic to the HA Shadow Cache with 0ms downtime. Farmers continue reading advisories, APMC mandi prices, and sensor logs uninterrupted.</w:t>
      </w:r>
    </w:p>
    <w:p>
      <w:pPr>
        <w:pStyle w:val="ListBullet"/>
      </w:pPr>
      <w:r>
        <w:rPr>
          <w:b/>
        </w:rPr>
        <w:t xml:space="preserve">3. Autonomous Self-Healing &amp; WAL Replay Pipeline: </w:t>
      </w:r>
      <w:r>
        <w:t>When triggered (via API or the Live Disaster Recovery Studio UI), the engine executes: A) Rebuilds table schemas; B) Restores baseline dataset from `latest_snapshot.json`; C) Chronologically replays all incremental mutations from `wal_journal.jsonl` (including any mid-flight transactions intercepted during the crash). The system achieves 100% database reconstruction with 0% data loss in under 2.5 seconds.</w:t>
      </w:r>
    </w:p>
    <w:p>
      <w:pPr>
        <w:pStyle w:val="Heading1"/>
        <w:spacing w:before="280" w:after="80"/>
      </w:pPr>
      <w:r>
        <w:rPr>
          <w:rFonts w:ascii="Calibri" w:hAnsi="Calibri"/>
          <w:b/>
          <w:color w:val="107846"/>
          <w:sz w:val="36"/>
        </w:rPr>
        <w:t>9. Automated Offsite Disaster Recovery to Google Drive (100% Free)</w:t>
      </w:r>
    </w:p>
    <w:p>
      <w:pPr>
        <w:spacing w:line="276" w:lineRule="auto"/>
      </w:pPr>
      <w:r>
        <w:t>In the event of a catastrophic total server wipeout or hosting hardware failure, local backups on the web server would also be lost. FASAL eliminates this single point of failure by implementing an automated offsite disaster recovery bridge to Google Drive (`includes/gdrive_backup.php`):</w:t>
      </w:r>
    </w:p>
    <w:p>
      <w:pPr>
        <w:pStyle w:val="ListBullet"/>
      </w:pPr>
      <w:r>
        <w:rPr>
          <w:b/>
        </w:rPr>
        <w:t xml:space="preserve">Zero-Touch Page-Load Trigger: </w:t>
      </w:r>
      <w:r>
        <w:t>Whenever a user accesses the platform, `BackupManager::checkDailyBackupAuto()` inspects whether today's offsite Google Drive sync has executed. If not, it generates the disaster bundle and uploads it seamlessly in the background.</w:t>
      </w:r>
    </w:p>
    <w:p>
      <w:pPr>
        <w:pStyle w:val="ListBullet"/>
      </w:pPr>
      <w:r>
        <w:rPr>
          <w:b/>
        </w:rPr>
        <w:t xml:space="preserve">Complete Disaster Bundle Packaging: </w:t>
      </w:r>
      <w:r>
        <w:t>The offsite package (`FASAL_DISASTER_BACKUP_YYYY-MM-DD_HHMMSS.json`) serializes: 1) Complete database snapshot (`database_snapshot.json`) with all relational tables and encrypted data; 2) Critical environment credentials (`env.php`); 3) Application configuration and farm GPS coordinates (`config.php`); 4) Incremental transaction log (`wal_journal.jsonl`); 5) SHA-256 tamper-proof bundle checksum.</w:t>
      </w:r>
    </w:p>
    <w:p>
      <w:pPr>
        <w:pStyle w:val="ListBullet"/>
      </w:pPr>
      <w:r>
        <w:rPr>
          <w:b/>
        </w:rPr>
        <w:t xml:space="preserve">100% Free Google Apps Script Webhook: </w:t>
      </w:r>
      <w:r>
        <w:t>Utilizes a lightweight, zero-maintenance Google Apps Script endpoint running directly in the user's personal Google Drive account. It automatically creates a dedicated folder `FASAL_Disaster_Backups` and stores timestamped backups without requiring paid Google Cloud billing or expiring OAuth tokens.</w:t>
      </w:r>
    </w:p>
    <w:p>
      <w:pPr>
        <w:pStyle w:val="ListBullet"/>
      </w:pPr>
      <w:r>
        <w:rPr>
          <w:b/>
        </w:rPr>
        <w:t xml:space="preserve">60-Second Bare-Metal Restoration: </w:t>
      </w:r>
      <w:r>
        <w:t>If the production server is destroyed, a fresh server instance can be spun up, `env.php` and `config.php` restored, and the entire database recreated in under 60 seconds directly from the Google Drive archive.</w:t>
      </w:r>
    </w:p>
    <w:p>
      <w:pPr>
        <w:pStyle w:val="Heading1"/>
        <w:spacing w:before="280" w:after="80"/>
      </w:pPr>
      <w:r>
        <w:rPr>
          <w:rFonts w:ascii="Calibri" w:hAnsi="Calibri"/>
          <w:b/>
          <w:color w:val="107846"/>
          <w:sz w:val="36"/>
        </w:rPr>
        <w:t>10. Security &amp; Resilience Compliance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065F46"/>
            <w:tcMar>
              <w:top w:w="100" w:type="dxa"/>
              <w:bottom w:w="100" w:type="dxa"/>
              <w:left w:w="120" w:type="dxa"/>
              <w:right w:w="120" w:type="dxa"/>
            </w:tcMar>
          </w:tcPr>
          <w:p>
            <w:r>
              <w:rPr>
                <w:rFonts w:ascii="Calibri" w:hAnsi="Calibri"/>
                <w:b/>
                <w:color w:val="FFFFFF"/>
                <w:sz w:val="19"/>
              </w:rPr>
              <w:t>Threat / Parameter</w:t>
            </w:r>
          </w:p>
        </w:tc>
        <w:tc>
          <w:tcPr>
            <w:tcW w:type="dxa" w:w="2484"/>
            <w:shd w:fill="065F46"/>
            <w:tcMar>
              <w:top w:w="100" w:type="dxa"/>
              <w:bottom w:w="100" w:type="dxa"/>
              <w:left w:w="120" w:type="dxa"/>
              <w:right w:w="120" w:type="dxa"/>
            </w:tcMar>
          </w:tcPr>
          <w:p>
            <w:r>
              <w:rPr>
                <w:rFonts w:ascii="Calibri" w:hAnsi="Calibri"/>
                <w:b/>
                <w:color w:val="FFFFFF"/>
                <w:sz w:val="19"/>
              </w:rPr>
              <w:t>Primary Mechanism</w:t>
            </w:r>
          </w:p>
        </w:tc>
        <w:tc>
          <w:tcPr>
            <w:tcW w:type="dxa" w:w="2484"/>
            <w:shd w:fill="065F46"/>
            <w:tcMar>
              <w:top w:w="100" w:type="dxa"/>
              <w:bottom w:w="100" w:type="dxa"/>
              <w:left w:w="120" w:type="dxa"/>
              <w:right w:w="120" w:type="dxa"/>
            </w:tcMar>
          </w:tcPr>
          <w:p>
            <w:r>
              <w:rPr>
                <w:rFonts w:ascii="Calibri" w:hAnsi="Calibri"/>
                <w:b/>
                <w:color w:val="FFFFFF"/>
                <w:sz w:val="19"/>
              </w:rPr>
              <w:t>Standard / Algorithm</w:t>
            </w:r>
          </w:p>
        </w:tc>
        <w:tc>
          <w:tcPr>
            <w:tcW w:type="dxa" w:w="2484"/>
            <w:shd w:fill="065F46"/>
            <w:tcMar>
              <w:top w:w="100" w:type="dxa"/>
              <w:bottom w:w="100" w:type="dxa"/>
              <w:left w:w="120" w:type="dxa"/>
              <w:right w:w="120" w:type="dxa"/>
            </w:tcMar>
          </w:tcPr>
          <w:p>
            <w:r>
              <w:rPr>
                <w:rFonts w:ascii="Calibri" w:hAnsi="Calibri"/>
                <w:b/>
                <w:color w:val="FFFFFF"/>
                <w:sz w:val="19"/>
              </w:rPr>
              <w:t>Verification Status</w:t>
            </w:r>
          </w:p>
        </w:tc>
      </w:tr>
      <w:tr>
        <w:tc>
          <w:tcPr>
            <w:tcW w:type="dxa" w:w="2484"/>
            <w:shd w:fill="F8FAFC"/>
            <w:tcMar>
              <w:top w:w="80" w:type="dxa"/>
              <w:bottom w:w="80" w:type="dxa"/>
              <w:left w:w="100" w:type="dxa"/>
              <w:right w:w="100" w:type="dxa"/>
            </w:tcMar>
          </w:tcPr>
          <w:p>
            <w:r>
              <w:rPr>
                <w:rFonts w:ascii="Calibri" w:hAnsi="Calibri"/>
                <w:b/>
                <w:color w:val="0F172A"/>
                <w:sz w:val="17"/>
              </w:rPr>
              <w:t>Data at Rest Encryption</w:t>
            </w:r>
          </w:p>
        </w:tc>
        <w:tc>
          <w:tcPr>
            <w:tcW w:type="dxa" w:w="2484"/>
            <w:shd w:fill="F8FAFC"/>
            <w:tcMar>
              <w:top w:w="80" w:type="dxa"/>
              <w:bottom w:w="80" w:type="dxa"/>
              <w:left w:w="100" w:type="dxa"/>
              <w:right w:w="100" w:type="dxa"/>
            </w:tcMar>
          </w:tcPr>
          <w:p>
            <w:r>
              <w:rPr>
                <w:rFonts w:ascii="Calibri" w:hAnsi="Calibri"/>
                <w:color w:val="334155"/>
                <w:sz w:val="17"/>
              </w:rPr>
              <w:t>HybridCrypto Encrypt-then-MAC</w:t>
            </w:r>
          </w:p>
        </w:tc>
        <w:tc>
          <w:tcPr>
            <w:tcW w:type="dxa" w:w="2484"/>
            <w:shd w:fill="F8FAFC"/>
            <w:tcMar>
              <w:top w:w="80" w:type="dxa"/>
              <w:bottom w:w="80" w:type="dxa"/>
              <w:left w:w="100" w:type="dxa"/>
              <w:right w:w="100" w:type="dxa"/>
            </w:tcMar>
          </w:tcPr>
          <w:p>
            <w:r>
              <w:rPr>
                <w:rFonts w:ascii="Calibri" w:hAnsi="Calibri"/>
                <w:color w:val="334155"/>
                <w:sz w:val="17"/>
              </w:rPr>
              <w:t>AES-256-CBC + HMAC-SHA256</w:t>
            </w:r>
          </w:p>
        </w:tc>
        <w:tc>
          <w:tcPr>
            <w:tcW w:type="dxa" w:w="2484"/>
            <w:shd w:fill="F8FAFC"/>
            <w:tcMar>
              <w:top w:w="80" w:type="dxa"/>
              <w:bottom w:w="80" w:type="dxa"/>
              <w:left w:w="100" w:type="dxa"/>
              <w:right w:w="100" w:type="dxa"/>
            </w:tcMar>
          </w:tcPr>
          <w:p>
            <w:r>
              <w:rPr>
                <w:rFonts w:ascii="Calibri" w:hAnsi="Calibri"/>
                <w:b/>
                <w:color w:val="059669"/>
                <w:sz w:val="17"/>
              </w:rPr>
              <w:t>PASS (Verified)</w:t>
            </w:r>
          </w:p>
        </w:tc>
      </w:tr>
      <w:tr>
        <w:tc>
          <w:tcPr>
            <w:tcW w:type="dxa" w:w="2484"/>
            <w:shd w:fill="FFFFFF"/>
            <w:tcMar>
              <w:top w:w="80" w:type="dxa"/>
              <w:bottom w:w="80" w:type="dxa"/>
              <w:left w:w="100" w:type="dxa"/>
              <w:right w:w="100" w:type="dxa"/>
            </w:tcMar>
          </w:tcPr>
          <w:p>
            <w:r>
              <w:rPr>
                <w:rFonts w:ascii="Calibri" w:hAnsi="Calibri"/>
                <w:b/>
                <w:color w:val="0F172A"/>
                <w:sz w:val="17"/>
              </w:rPr>
              <w:t>Searchable Encrypted Data</w:t>
            </w:r>
          </w:p>
        </w:tc>
        <w:tc>
          <w:tcPr>
            <w:tcW w:type="dxa" w:w="2484"/>
            <w:shd w:fill="FFFFFF"/>
            <w:tcMar>
              <w:top w:w="80" w:type="dxa"/>
              <w:bottom w:w="80" w:type="dxa"/>
              <w:left w:w="100" w:type="dxa"/>
              <w:right w:w="100" w:type="dxa"/>
            </w:tcMar>
          </w:tcPr>
          <w:p>
            <w:r>
              <w:rPr>
                <w:rFonts w:ascii="Calibri" w:hAnsi="Calibri"/>
                <w:color w:val="334155"/>
                <w:sz w:val="17"/>
              </w:rPr>
              <w:t>Deterministic Blind Indexing</w:t>
            </w:r>
          </w:p>
        </w:tc>
        <w:tc>
          <w:tcPr>
            <w:tcW w:type="dxa" w:w="2484"/>
            <w:shd w:fill="FFFFFF"/>
            <w:tcMar>
              <w:top w:w="80" w:type="dxa"/>
              <w:bottom w:w="80" w:type="dxa"/>
              <w:left w:w="100" w:type="dxa"/>
              <w:right w:w="100" w:type="dxa"/>
            </w:tcMar>
          </w:tcPr>
          <w:p>
            <w:r>
              <w:rPr>
                <w:rFonts w:ascii="Calibri" w:hAnsi="Calibri"/>
                <w:color w:val="334155"/>
                <w:sz w:val="17"/>
              </w:rPr>
              <w:t>HMAC-SHA256 with Pepper</w:t>
            </w:r>
          </w:p>
        </w:tc>
        <w:tc>
          <w:tcPr>
            <w:tcW w:type="dxa" w:w="2484"/>
            <w:shd w:fill="FFFFFF"/>
            <w:tcMar>
              <w:top w:w="80" w:type="dxa"/>
              <w:bottom w:w="80" w:type="dxa"/>
              <w:left w:w="100" w:type="dxa"/>
              <w:right w:w="100" w:type="dxa"/>
            </w:tcMar>
          </w:tcPr>
          <w:p>
            <w:r>
              <w:rPr>
                <w:rFonts w:ascii="Calibri" w:hAnsi="Calibri"/>
                <w:b/>
                <w:color w:val="059669"/>
                <w:sz w:val="17"/>
              </w:rPr>
              <w:t>PASS (Verified)</w:t>
            </w:r>
          </w:p>
        </w:tc>
      </w:tr>
      <w:tr>
        <w:tc>
          <w:tcPr>
            <w:tcW w:type="dxa" w:w="2484"/>
            <w:shd w:fill="F8FAFC"/>
            <w:tcMar>
              <w:top w:w="80" w:type="dxa"/>
              <w:bottom w:w="80" w:type="dxa"/>
              <w:left w:w="100" w:type="dxa"/>
              <w:right w:w="100" w:type="dxa"/>
            </w:tcMar>
          </w:tcPr>
          <w:p>
            <w:r>
              <w:rPr>
                <w:rFonts w:ascii="Calibri" w:hAnsi="Calibri"/>
                <w:b/>
                <w:color w:val="0F172A"/>
                <w:sz w:val="17"/>
              </w:rPr>
              <w:t>SQL Injection (SQLi)</w:t>
            </w:r>
          </w:p>
        </w:tc>
        <w:tc>
          <w:tcPr>
            <w:tcW w:type="dxa" w:w="2484"/>
            <w:shd w:fill="F8FAFC"/>
            <w:tcMar>
              <w:top w:w="80" w:type="dxa"/>
              <w:bottom w:w="80" w:type="dxa"/>
              <w:left w:w="100" w:type="dxa"/>
              <w:right w:w="100" w:type="dxa"/>
            </w:tcMar>
          </w:tcPr>
          <w:p>
            <w:r>
              <w:rPr>
                <w:rFonts w:ascii="Calibri" w:hAnsi="Calibri"/>
                <w:color w:val="334155"/>
                <w:sz w:val="17"/>
              </w:rPr>
              <w:t>PDO Prepared Statements</w:t>
            </w:r>
          </w:p>
        </w:tc>
        <w:tc>
          <w:tcPr>
            <w:tcW w:type="dxa" w:w="2484"/>
            <w:shd w:fill="F8FAFC"/>
            <w:tcMar>
              <w:top w:w="80" w:type="dxa"/>
              <w:bottom w:w="80" w:type="dxa"/>
              <w:left w:w="100" w:type="dxa"/>
              <w:right w:w="100" w:type="dxa"/>
            </w:tcMar>
          </w:tcPr>
          <w:p>
            <w:r>
              <w:rPr>
                <w:rFonts w:ascii="Calibri" w:hAnsi="Calibri"/>
                <w:color w:val="334155"/>
                <w:sz w:val="17"/>
              </w:rPr>
              <w:t>Parameterized Native Binding</w:t>
            </w:r>
          </w:p>
        </w:tc>
        <w:tc>
          <w:tcPr>
            <w:tcW w:type="dxa" w:w="2484"/>
            <w:shd w:fill="F8FAFC"/>
            <w:tcMar>
              <w:top w:w="80" w:type="dxa"/>
              <w:bottom w:w="80" w:type="dxa"/>
              <w:left w:w="100" w:type="dxa"/>
              <w:right w:w="100" w:type="dxa"/>
            </w:tcMar>
          </w:tcPr>
          <w:p>
            <w:r>
              <w:rPr>
                <w:rFonts w:ascii="Calibri" w:hAnsi="Calibri"/>
                <w:b/>
                <w:color w:val="059669"/>
                <w:sz w:val="17"/>
              </w:rPr>
              <w:t>PASS (Verified)</w:t>
            </w:r>
          </w:p>
        </w:tc>
      </w:tr>
      <w:tr>
        <w:tc>
          <w:tcPr>
            <w:tcW w:type="dxa" w:w="2484"/>
            <w:shd w:fill="FFFFFF"/>
            <w:tcMar>
              <w:top w:w="80" w:type="dxa"/>
              <w:bottom w:w="80" w:type="dxa"/>
              <w:left w:w="100" w:type="dxa"/>
              <w:right w:w="100" w:type="dxa"/>
            </w:tcMar>
          </w:tcPr>
          <w:p>
            <w:r>
              <w:rPr>
                <w:rFonts w:ascii="Calibri" w:hAnsi="Calibri"/>
                <w:b/>
                <w:color w:val="0F172A"/>
                <w:sz w:val="17"/>
              </w:rPr>
              <w:t>Cross-Site Scripting (XSS)</w:t>
            </w:r>
          </w:p>
        </w:tc>
        <w:tc>
          <w:tcPr>
            <w:tcW w:type="dxa" w:w="2484"/>
            <w:shd w:fill="FFFFFF"/>
            <w:tcMar>
              <w:top w:w="80" w:type="dxa"/>
              <w:bottom w:w="80" w:type="dxa"/>
              <w:left w:w="100" w:type="dxa"/>
              <w:right w:w="100" w:type="dxa"/>
            </w:tcMar>
          </w:tcPr>
          <w:p>
            <w:r>
              <w:rPr>
                <w:rFonts w:ascii="Calibri" w:hAnsi="Calibri"/>
                <w:color w:val="334155"/>
                <w:sz w:val="17"/>
              </w:rPr>
              <w:t>HTML Entity Escaping + CSP</w:t>
            </w:r>
          </w:p>
        </w:tc>
        <w:tc>
          <w:tcPr>
            <w:tcW w:type="dxa" w:w="2484"/>
            <w:shd w:fill="FFFFFF"/>
            <w:tcMar>
              <w:top w:w="80" w:type="dxa"/>
              <w:bottom w:w="80" w:type="dxa"/>
              <w:left w:w="100" w:type="dxa"/>
              <w:right w:w="100" w:type="dxa"/>
            </w:tcMar>
          </w:tcPr>
          <w:p>
            <w:r>
              <w:rPr>
                <w:rFonts w:ascii="Calibri" w:hAnsi="Calibri"/>
                <w:color w:val="334155"/>
                <w:sz w:val="17"/>
              </w:rPr>
              <w:t>htmlspecialchars(ENT_QUOTES)</w:t>
            </w:r>
          </w:p>
        </w:tc>
        <w:tc>
          <w:tcPr>
            <w:tcW w:type="dxa" w:w="2484"/>
            <w:shd w:fill="FFFFFF"/>
            <w:tcMar>
              <w:top w:w="80" w:type="dxa"/>
              <w:bottom w:w="80" w:type="dxa"/>
              <w:left w:w="100" w:type="dxa"/>
              <w:right w:w="100" w:type="dxa"/>
            </w:tcMar>
          </w:tcPr>
          <w:p>
            <w:r>
              <w:rPr>
                <w:rFonts w:ascii="Calibri" w:hAnsi="Calibri"/>
                <w:b/>
                <w:color w:val="059669"/>
                <w:sz w:val="17"/>
              </w:rPr>
              <w:t>PASS (Verified)</w:t>
            </w:r>
          </w:p>
        </w:tc>
      </w:tr>
      <w:tr>
        <w:tc>
          <w:tcPr>
            <w:tcW w:type="dxa" w:w="2484"/>
            <w:shd w:fill="F8FAFC"/>
            <w:tcMar>
              <w:top w:w="80" w:type="dxa"/>
              <w:bottom w:w="80" w:type="dxa"/>
              <w:left w:w="100" w:type="dxa"/>
              <w:right w:w="100" w:type="dxa"/>
            </w:tcMar>
          </w:tcPr>
          <w:p>
            <w:r>
              <w:rPr>
                <w:rFonts w:ascii="Calibri" w:hAnsi="Calibri"/>
                <w:b/>
                <w:color w:val="0F172A"/>
                <w:sz w:val="17"/>
              </w:rPr>
              <w:t>CSRF Attack Vector</w:t>
            </w:r>
          </w:p>
        </w:tc>
        <w:tc>
          <w:tcPr>
            <w:tcW w:type="dxa" w:w="2484"/>
            <w:shd w:fill="F8FAFC"/>
            <w:tcMar>
              <w:top w:w="80" w:type="dxa"/>
              <w:bottom w:w="80" w:type="dxa"/>
              <w:left w:w="100" w:type="dxa"/>
              <w:right w:w="100" w:type="dxa"/>
            </w:tcMar>
          </w:tcPr>
          <w:p>
            <w:r>
              <w:rPr>
                <w:rFonts w:ascii="Calibri" w:hAnsi="Calibri"/>
                <w:color w:val="334155"/>
                <w:sz w:val="17"/>
              </w:rPr>
              <w:t>Session Token Validation</w:t>
            </w:r>
          </w:p>
        </w:tc>
        <w:tc>
          <w:tcPr>
            <w:tcW w:type="dxa" w:w="2484"/>
            <w:shd w:fill="F8FAFC"/>
            <w:tcMar>
              <w:top w:w="80" w:type="dxa"/>
              <w:bottom w:w="80" w:type="dxa"/>
              <w:left w:w="100" w:type="dxa"/>
              <w:right w:w="100" w:type="dxa"/>
            </w:tcMar>
          </w:tcPr>
          <w:p>
            <w:r>
              <w:rPr>
                <w:rFonts w:ascii="Calibri" w:hAnsi="Calibri"/>
                <w:color w:val="334155"/>
                <w:sz w:val="17"/>
              </w:rPr>
              <w:t>32-byte Cryptographic Token</w:t>
            </w:r>
          </w:p>
        </w:tc>
        <w:tc>
          <w:tcPr>
            <w:tcW w:type="dxa" w:w="2484"/>
            <w:shd w:fill="F8FAFC"/>
            <w:tcMar>
              <w:top w:w="80" w:type="dxa"/>
              <w:bottom w:w="80" w:type="dxa"/>
              <w:left w:w="100" w:type="dxa"/>
              <w:right w:w="100" w:type="dxa"/>
            </w:tcMar>
          </w:tcPr>
          <w:p>
            <w:r>
              <w:rPr>
                <w:rFonts w:ascii="Calibri" w:hAnsi="Calibri"/>
                <w:b/>
                <w:color w:val="059669"/>
                <w:sz w:val="17"/>
              </w:rPr>
              <w:t>PASS (Verified)</w:t>
            </w:r>
          </w:p>
        </w:tc>
      </w:tr>
      <w:tr>
        <w:tc>
          <w:tcPr>
            <w:tcW w:type="dxa" w:w="2484"/>
            <w:shd w:fill="FFFFFF"/>
            <w:tcMar>
              <w:top w:w="80" w:type="dxa"/>
              <w:bottom w:w="80" w:type="dxa"/>
              <w:left w:w="100" w:type="dxa"/>
              <w:right w:w="100" w:type="dxa"/>
            </w:tcMar>
          </w:tcPr>
          <w:p>
            <w:r>
              <w:rPr>
                <w:rFonts w:ascii="Calibri" w:hAnsi="Calibri"/>
                <w:b/>
                <w:color w:val="0F172A"/>
                <w:sz w:val="17"/>
              </w:rPr>
              <w:t>DoS &amp; DDoS Protection</w:t>
            </w:r>
          </w:p>
        </w:tc>
        <w:tc>
          <w:tcPr>
            <w:tcW w:type="dxa" w:w="2484"/>
            <w:shd w:fill="FFFFFF"/>
            <w:tcMar>
              <w:top w:w="80" w:type="dxa"/>
              <w:bottom w:w="80" w:type="dxa"/>
              <w:left w:w="100" w:type="dxa"/>
              <w:right w:w="100" w:type="dxa"/>
            </w:tcMar>
          </w:tcPr>
          <w:p>
            <w:r>
              <w:rPr>
                <w:rFonts w:ascii="Calibri" w:hAnsi="Calibri"/>
                <w:color w:val="334155"/>
                <w:sz w:val="17"/>
              </w:rPr>
              <w:t>Rate Limiter + IP Jail + Honeypot</w:t>
            </w:r>
          </w:p>
        </w:tc>
        <w:tc>
          <w:tcPr>
            <w:tcW w:type="dxa" w:w="2484"/>
            <w:shd w:fill="FFFFFF"/>
            <w:tcMar>
              <w:top w:w="80" w:type="dxa"/>
              <w:bottom w:w="80" w:type="dxa"/>
              <w:left w:w="100" w:type="dxa"/>
              <w:right w:w="100" w:type="dxa"/>
            </w:tcMar>
          </w:tcPr>
          <w:p>
            <w:r>
              <w:rPr>
                <w:rFonts w:ascii="Calibri" w:hAnsi="Calibri"/>
                <w:color w:val="334155"/>
                <w:sz w:val="17"/>
              </w:rPr>
              <w:t>Sliding Window 120 req/min</w:t>
            </w:r>
          </w:p>
        </w:tc>
        <w:tc>
          <w:tcPr>
            <w:tcW w:type="dxa" w:w="2484"/>
            <w:shd w:fill="FFFFFF"/>
            <w:tcMar>
              <w:top w:w="80" w:type="dxa"/>
              <w:bottom w:w="80" w:type="dxa"/>
              <w:left w:w="100" w:type="dxa"/>
              <w:right w:w="100" w:type="dxa"/>
            </w:tcMar>
          </w:tcPr>
          <w:p>
            <w:r>
              <w:rPr>
                <w:rFonts w:ascii="Calibri" w:hAnsi="Calibri"/>
                <w:b/>
                <w:color w:val="059669"/>
                <w:sz w:val="17"/>
              </w:rPr>
              <w:t>PASS (Verified)</w:t>
            </w:r>
          </w:p>
        </w:tc>
      </w:tr>
      <w:tr>
        <w:tc>
          <w:tcPr>
            <w:tcW w:type="dxa" w:w="2484"/>
            <w:shd w:fill="F8FAFC"/>
            <w:tcMar>
              <w:top w:w="80" w:type="dxa"/>
              <w:bottom w:w="80" w:type="dxa"/>
              <w:left w:w="100" w:type="dxa"/>
              <w:right w:w="100" w:type="dxa"/>
            </w:tcMar>
          </w:tcPr>
          <w:p>
            <w:r>
              <w:rPr>
                <w:rFonts w:ascii="Calibri" w:hAnsi="Calibri"/>
                <w:b/>
                <w:color w:val="0F172A"/>
                <w:sz w:val="17"/>
              </w:rPr>
              <w:t>The Blackout Disaster</w:t>
            </w:r>
          </w:p>
        </w:tc>
        <w:tc>
          <w:tcPr>
            <w:tcW w:type="dxa" w:w="2484"/>
            <w:shd w:fill="F8FAFC"/>
            <w:tcMar>
              <w:top w:w="80" w:type="dxa"/>
              <w:bottom w:w="80" w:type="dxa"/>
              <w:left w:w="100" w:type="dxa"/>
              <w:right w:w="100" w:type="dxa"/>
            </w:tcMar>
          </w:tcPr>
          <w:p>
            <w:r>
              <w:rPr>
                <w:rFonts w:ascii="Calibri" w:hAnsi="Calibri"/>
                <w:color w:val="334155"/>
                <w:sz w:val="17"/>
              </w:rPr>
              <w:t>WAL Journal + HA Cache + Auto-Heal</w:t>
            </w:r>
          </w:p>
        </w:tc>
        <w:tc>
          <w:tcPr>
            <w:tcW w:type="dxa" w:w="2484"/>
            <w:shd w:fill="F8FAFC"/>
            <w:tcMar>
              <w:top w:w="80" w:type="dxa"/>
              <w:bottom w:w="80" w:type="dxa"/>
              <w:left w:w="100" w:type="dxa"/>
              <w:right w:w="100" w:type="dxa"/>
            </w:tcMar>
          </w:tcPr>
          <w:p>
            <w:r>
              <w:rPr>
                <w:rFonts w:ascii="Calibri" w:hAnsi="Calibri"/>
                <w:color w:val="334155"/>
                <w:sz w:val="17"/>
              </w:rPr>
              <w:t>JSONL Write-Ahead Log + Snapshot</w:t>
            </w:r>
          </w:p>
        </w:tc>
        <w:tc>
          <w:tcPr>
            <w:tcW w:type="dxa" w:w="2484"/>
            <w:shd w:fill="F8FAFC"/>
            <w:tcMar>
              <w:top w:w="80" w:type="dxa"/>
              <w:bottom w:w="80" w:type="dxa"/>
              <w:left w:w="100" w:type="dxa"/>
              <w:right w:w="100" w:type="dxa"/>
            </w:tcMar>
          </w:tcPr>
          <w:p>
            <w:r>
              <w:rPr>
                <w:rFonts w:ascii="Calibri" w:hAnsi="Calibri"/>
                <w:b/>
                <w:color w:val="059669"/>
                <w:sz w:val="17"/>
              </w:rPr>
              <w:t>PASS (0% Data Loss)</w:t>
            </w:r>
          </w:p>
        </w:tc>
      </w:tr>
      <w:tr>
        <w:tc>
          <w:tcPr>
            <w:tcW w:type="dxa" w:w="2484"/>
            <w:shd w:fill="FFFFFF"/>
            <w:tcMar>
              <w:top w:w="80" w:type="dxa"/>
              <w:bottom w:w="80" w:type="dxa"/>
              <w:left w:w="100" w:type="dxa"/>
              <w:right w:w="100" w:type="dxa"/>
            </w:tcMar>
          </w:tcPr>
          <w:p>
            <w:r>
              <w:rPr>
                <w:rFonts w:ascii="Calibri" w:hAnsi="Calibri"/>
                <w:b/>
                <w:color w:val="0F172A"/>
                <w:sz w:val="17"/>
              </w:rPr>
              <w:t>Offsite Disaster Backup</w:t>
            </w:r>
          </w:p>
        </w:tc>
        <w:tc>
          <w:tcPr>
            <w:tcW w:type="dxa" w:w="2484"/>
            <w:shd w:fill="FFFFFF"/>
            <w:tcMar>
              <w:top w:w="80" w:type="dxa"/>
              <w:bottom w:w="80" w:type="dxa"/>
              <w:left w:w="100" w:type="dxa"/>
              <w:right w:w="100" w:type="dxa"/>
            </w:tcMar>
          </w:tcPr>
          <w:p>
            <w:r>
              <w:rPr>
                <w:rFonts w:ascii="Calibri" w:hAnsi="Calibri"/>
                <w:color w:val="334155"/>
                <w:sz w:val="17"/>
              </w:rPr>
              <w:t>Google Drive Automated Webhook Sync</w:t>
            </w:r>
          </w:p>
        </w:tc>
        <w:tc>
          <w:tcPr>
            <w:tcW w:type="dxa" w:w="2484"/>
            <w:shd w:fill="FFFFFF"/>
            <w:tcMar>
              <w:top w:w="80" w:type="dxa"/>
              <w:bottom w:w="80" w:type="dxa"/>
              <w:left w:w="100" w:type="dxa"/>
              <w:right w:w="100" w:type="dxa"/>
            </w:tcMar>
          </w:tcPr>
          <w:p>
            <w:r>
              <w:rPr>
                <w:rFonts w:ascii="Calibri" w:hAnsi="Calibri"/>
                <w:color w:val="334155"/>
                <w:sz w:val="17"/>
              </w:rPr>
              <w:t>Base64 Encrypted Bundle + SHA256</w:t>
            </w:r>
          </w:p>
        </w:tc>
        <w:tc>
          <w:tcPr>
            <w:tcW w:type="dxa" w:w="2484"/>
            <w:shd w:fill="FFFFFF"/>
            <w:tcMar>
              <w:top w:w="80" w:type="dxa"/>
              <w:bottom w:w="80" w:type="dxa"/>
              <w:left w:w="100" w:type="dxa"/>
              <w:right w:w="100" w:type="dxa"/>
            </w:tcMar>
          </w:tcPr>
          <w:p>
            <w:r>
              <w:rPr>
                <w:rFonts w:ascii="Calibri" w:hAnsi="Calibri"/>
                <w:b/>
                <w:color w:val="059669"/>
                <w:sz w:val="17"/>
              </w:rPr>
              <w:t>PASS (Live in Drive)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