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5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1" w:name="hong-kong-baptist-university"/>
    <w:p>
      <w:pPr>
        <w:pStyle w:val="Heading1"/>
      </w:pPr>
      <w:r>
        <w:t xml:space="preserve">HONG KONG BAPTIST UNIVERSITY</w:t>
      </w:r>
    </w:p>
    <w:bookmarkStart w:id="10" w:name="school-of-business"/>
    <w:p>
      <w:pPr>
        <w:pStyle w:val="Heading2"/>
      </w:pPr>
      <w:r>
        <w:t xml:space="preserve">School of Business</w:t>
      </w:r>
    </w:p>
    <w:bookmarkStart w:id="9" w:name="Xc429639f42004a114a1cbf07c694a8324a3b751"/>
    <w:p>
      <w:pPr>
        <w:pStyle w:val="Heading3"/>
      </w:pPr>
      <w:r>
        <w:t xml:space="preserve">FIN7900: Cybersecurity, Privacy and RegTech for Finance</w:t>
      </w:r>
    </w:p>
    <w:p>
      <w:r>
        <w:pict>
          <v:rect style="width:0;height:1.5pt" o:hralign="center" o:hrstd="t" o:hr="t"/>
        </w:pict>
      </w:r>
    </w:p>
    <w:bookmarkEnd w:id="9"/>
    <w:bookmarkEnd w:id="10"/>
    <w:bookmarkEnd w:id="11"/>
    <w:bookmarkStart w:id="62" w:name="project-report"/>
    <w:p>
      <w:pPr>
        <w:pStyle w:val="Heading1"/>
      </w:pPr>
      <w:r>
        <w:t xml:space="preserve">PROJECT REPORT</w:t>
      </w:r>
    </w:p>
    <w:p>
      <w:pPr>
        <w:pStyle w:val="FirstParagraph"/>
      </w:pPr>
      <w:r>
        <w:rPr>
          <w:b/>
          <w:bCs/>
        </w:rPr>
        <w:t xml:space="preserve">Assignment Title:</w:t>
      </w:r>
      <w:r>
        <w:t xml:space="preserve"> </w:t>
      </w:r>
      <w:r>
        <w:t xml:space="preserve">GuardYourData, A Comprehensive 3-Hour Interactive</w:t>
      </w:r>
      <w:r>
        <w:t xml:space="preserve"> </w:t>
      </w:r>
      <w:r>
        <w:t xml:space="preserve">Cybersecurity Literacy Platform for Digital Wallet Operators</w:t>
      </w:r>
    </w:p>
    <w:p>
      <w:pPr>
        <w:pStyle w:val="BodyText"/>
      </w:pPr>
      <w:r>
        <w:rPr>
          <w:b/>
          <w:bCs/>
        </w:rPr>
        <w:t xml:space="preserve">Topic Selected:</w:t>
      </w:r>
      <w:r>
        <w:t xml:space="preserve"> </w:t>
      </w:r>
      <w:r>
        <w:t xml:space="preserve">Topic 1, Data Breaches: Causes, Mitigation &amp; Recent</w:t>
      </w:r>
      <w:r>
        <w:t xml:space="preserve"> </w:t>
      </w:r>
      <w:r>
        <w:t xml:space="preserve">Events</w:t>
      </w:r>
    </w:p>
    <w:p>
      <w:pPr>
        <w:pStyle w:val="BodyText"/>
      </w:pPr>
      <w:r>
        <w:rPr>
          <w:b/>
          <w:bCs/>
        </w:rPr>
        <w:t xml:space="preserve">Candidate Role (Simulated):</w:t>
      </w:r>
      <w:r>
        <w:t xml:space="preserve"> </w:t>
      </w:r>
      <w:r>
        <w:t xml:space="preserve">Head of Business Development, FinTech</w:t>
      </w:r>
      <w:r>
        <w:t xml:space="preserve"> </w:t>
      </w:r>
      <w:r>
        <w:t xml:space="preserve">Mobile Wallet Company</w:t>
      </w:r>
    </w:p>
    <w:p>
      <w:pPr>
        <w:pStyle w:val="BodyText"/>
      </w:pPr>
      <w:r>
        <w:rPr>
          <w:b/>
          <w:bCs/>
        </w:rPr>
        <w:t xml:space="preserve">Submission Date:</w:t>
      </w:r>
      <w:r>
        <w:t xml:space="preserve"> </w:t>
      </w:r>
      <w:r>
        <w:t xml:space="preserve">March 2026</w:t>
      </w:r>
    </w:p>
    <w:p>
      <w:pPr>
        <w:pStyle w:val="BodyText"/>
      </w:pPr>
      <w:r>
        <w:rPr>
          <w:b/>
          <w:bCs/>
        </w:rPr>
        <w:t xml:space="preserve">Platform URL:</w:t>
      </w:r>
      <w:r>
        <w:t xml:space="preserve"> </w:t>
      </w:r>
      <w:r>
        <w:t xml:space="preserve">https://guardyourdata.me</w:t>
      </w:r>
    </w:p>
    <w:p>
      <w:r>
        <w:pict>
          <v:rect style="width:0;height:1.5pt" o:hralign="center" o:hrstd="t" o:hr="t"/>
        </w:pict>
      </w:r>
    </w:p>
    <w:bookmarkStart w:id="12" w:name="table-of-contents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executive-summary">
        <w:r>
          <w:rPr>
            <w:rStyle w:val="Hyperlink"/>
          </w:rPr>
          <w:t xml:space="preserve">1. Executive Summary</w:t>
        </w:r>
      </w:hyperlink>
    </w:p>
    <w:p>
      <w:pPr>
        <w:pStyle w:val="Compact"/>
        <w:numPr>
          <w:ilvl w:val="0"/>
          <w:numId w:val="1001"/>
        </w:numPr>
      </w:pPr>
      <w:hyperlink w:anchor="introduction">
        <w:r>
          <w:rPr>
            <w:rStyle w:val="Hyperlink"/>
          </w:rPr>
          <w:t xml:space="preserve">2. Introduction</w:t>
        </w:r>
      </w:hyperlink>
    </w:p>
    <w:p>
      <w:pPr>
        <w:pStyle w:val="Compact"/>
        <w:numPr>
          <w:ilvl w:val="1"/>
          <w:numId w:val="1002"/>
        </w:numPr>
      </w:pPr>
      <w:hyperlink w:anchor="purpose">
        <w:r>
          <w:rPr>
            <w:rStyle w:val="Hyperlink"/>
          </w:rPr>
          <w:t xml:space="preserve">2.1 Purpose</w:t>
        </w:r>
      </w:hyperlink>
    </w:p>
    <w:p>
      <w:pPr>
        <w:pStyle w:val="Compact"/>
        <w:numPr>
          <w:ilvl w:val="1"/>
          <w:numId w:val="1002"/>
        </w:numPr>
      </w:pPr>
      <w:hyperlink w:anchor="scope-and-boundaries">
        <w:r>
          <w:rPr>
            <w:rStyle w:val="Hyperlink"/>
          </w:rPr>
          <w:t xml:space="preserve">2.2 Scope and Boundaries</w:t>
        </w:r>
      </w:hyperlink>
    </w:p>
    <w:p>
      <w:pPr>
        <w:pStyle w:val="Compact"/>
        <w:numPr>
          <w:ilvl w:val="1"/>
          <w:numId w:val="1002"/>
        </w:numPr>
      </w:pPr>
      <w:hyperlink w:anchor="report-structure">
        <w:r>
          <w:rPr>
            <w:rStyle w:val="Hyperlink"/>
          </w:rPr>
          <w:t xml:space="preserve">2.3 Report Structure</w:t>
        </w:r>
      </w:hyperlink>
    </w:p>
    <w:p>
      <w:pPr>
        <w:pStyle w:val="Compact"/>
        <w:numPr>
          <w:ilvl w:val="0"/>
          <w:numId w:val="1001"/>
        </w:numPr>
      </w:pPr>
      <w:hyperlink w:anchor="background-and-context">
        <w:r>
          <w:rPr>
            <w:rStyle w:val="Hyperlink"/>
          </w:rPr>
          <w:t xml:space="preserve">3. Background and Context</w:t>
        </w:r>
      </w:hyperlink>
    </w:p>
    <w:p>
      <w:pPr>
        <w:pStyle w:val="Compact"/>
        <w:numPr>
          <w:ilvl w:val="1"/>
          <w:numId w:val="1003"/>
        </w:numPr>
      </w:pPr>
      <w:hyperlink w:anchor="the-business-problem">
        <w:r>
          <w:rPr>
            <w:rStyle w:val="Hyperlink"/>
          </w:rPr>
          <w:t xml:space="preserve">3.1 The Business Problem</w:t>
        </w:r>
      </w:hyperlink>
    </w:p>
    <w:p>
      <w:pPr>
        <w:pStyle w:val="Compact"/>
        <w:numPr>
          <w:ilvl w:val="1"/>
          <w:numId w:val="1003"/>
        </w:numPr>
      </w:pPr>
      <w:hyperlink w:anchor="X1db90a08484d8d587a420987d895f2d361f8149">
        <w:r>
          <w:rPr>
            <w:rStyle w:val="Hyperlink"/>
          </w:rPr>
          <w:t xml:space="preserve">3.2 The Training Gap in Hong Kong’s FinTech Sector</w:t>
        </w:r>
      </w:hyperlink>
    </w:p>
    <w:p>
      <w:pPr>
        <w:pStyle w:val="Compact"/>
        <w:numPr>
          <w:ilvl w:val="1"/>
          <w:numId w:val="1003"/>
        </w:numPr>
      </w:pPr>
      <w:hyperlink w:anchor="the-chosen-approach">
        <w:r>
          <w:rPr>
            <w:rStyle w:val="Hyperlink"/>
          </w:rPr>
          <w:t xml:space="preserve">3.3 The Chosen Approach</w:t>
        </w:r>
      </w:hyperlink>
    </w:p>
    <w:p>
      <w:pPr>
        <w:pStyle w:val="Compact"/>
        <w:numPr>
          <w:ilvl w:val="1"/>
          <w:numId w:val="1003"/>
        </w:numPr>
      </w:pPr>
      <w:hyperlink w:anchor="learner-journey-on-the-live-site">
        <w:r>
          <w:rPr>
            <w:rStyle w:val="Hyperlink"/>
          </w:rPr>
          <w:t xml:space="preserve">3.4 Learner Journey on the Live Site</w:t>
        </w:r>
      </w:hyperlink>
    </w:p>
    <w:p>
      <w:pPr>
        <w:pStyle w:val="Compact"/>
        <w:numPr>
          <w:ilvl w:val="0"/>
          <w:numId w:val="1001"/>
        </w:numPr>
      </w:pPr>
      <w:hyperlink w:anchor="research-methodology">
        <w:r>
          <w:rPr>
            <w:rStyle w:val="Hyperlink"/>
          </w:rPr>
          <w:t xml:space="preserve">4. Research Methodology</w:t>
        </w:r>
      </w:hyperlink>
    </w:p>
    <w:p>
      <w:pPr>
        <w:pStyle w:val="Compact"/>
        <w:numPr>
          <w:ilvl w:val="1"/>
          <w:numId w:val="1004"/>
        </w:numPr>
      </w:pPr>
      <w:hyperlink w:anchor="sources-identified-and-evaluated">
        <w:r>
          <w:rPr>
            <w:rStyle w:val="Hyperlink"/>
          </w:rPr>
          <w:t xml:space="preserve">4.1 Sources Identified and Evaluated</w:t>
        </w:r>
      </w:hyperlink>
    </w:p>
    <w:p>
      <w:pPr>
        <w:pStyle w:val="Compact"/>
        <w:numPr>
          <w:ilvl w:val="1"/>
          <w:numId w:val="1004"/>
        </w:numPr>
      </w:pPr>
      <w:hyperlink w:anchor="key-findings-summary">
        <w:r>
          <w:rPr>
            <w:rStyle w:val="Hyperlink"/>
          </w:rPr>
          <w:t xml:space="preserve">4.2 Key Findings Summary</w:t>
        </w:r>
      </w:hyperlink>
    </w:p>
    <w:p>
      <w:pPr>
        <w:pStyle w:val="Compact"/>
        <w:numPr>
          <w:ilvl w:val="1"/>
          <w:numId w:val="1004"/>
        </w:numPr>
      </w:pPr>
      <w:hyperlink w:anchor="data-collection-methodology">
        <w:r>
          <w:rPr>
            <w:rStyle w:val="Hyperlink"/>
          </w:rPr>
          <w:t xml:space="preserve">4.3 Data Collection Methodology</w:t>
        </w:r>
      </w:hyperlink>
    </w:p>
    <w:p>
      <w:pPr>
        <w:pStyle w:val="Compact"/>
        <w:numPr>
          <w:ilvl w:val="0"/>
          <w:numId w:val="1001"/>
        </w:numPr>
      </w:pPr>
      <w:hyperlink w:anchor="content-development">
        <w:r>
          <w:rPr>
            <w:rStyle w:val="Hyperlink"/>
          </w:rPr>
          <w:t xml:space="preserve">5. Content Development</w:t>
        </w:r>
      </w:hyperlink>
    </w:p>
    <w:p>
      <w:pPr>
        <w:pStyle w:val="Compact"/>
        <w:numPr>
          <w:ilvl w:val="1"/>
          <w:numId w:val="1005"/>
        </w:numPr>
      </w:pPr>
      <w:hyperlink w:anchor="initial-content-outline">
        <w:r>
          <w:rPr>
            <w:rStyle w:val="Hyperlink"/>
          </w:rPr>
          <w:t xml:space="preserve">5.1 Initial Content Outline</w:t>
        </w:r>
      </w:hyperlink>
    </w:p>
    <w:p>
      <w:pPr>
        <w:pStyle w:val="Compact"/>
        <w:numPr>
          <w:ilvl w:val="1"/>
          <w:numId w:val="1005"/>
        </w:numPr>
      </w:pPr>
      <w:hyperlink w:anchor="challenges-encountered">
        <w:r>
          <w:rPr>
            <w:rStyle w:val="Hyperlink"/>
          </w:rPr>
          <w:t xml:space="preserve">5.2 Challenges Encountered</w:t>
        </w:r>
      </w:hyperlink>
    </w:p>
    <w:p>
      <w:pPr>
        <w:pStyle w:val="Compact"/>
        <w:numPr>
          <w:ilvl w:val="1"/>
          <w:numId w:val="1005"/>
        </w:numPr>
      </w:pPr>
      <w:hyperlink w:anchor="solutions-implemented">
        <w:r>
          <w:rPr>
            <w:rStyle w:val="Hyperlink"/>
          </w:rPr>
          <w:t xml:space="preserve">5.3 Solutions Implemented</w:t>
        </w:r>
      </w:hyperlink>
    </w:p>
    <w:p>
      <w:pPr>
        <w:pStyle w:val="Compact"/>
        <w:numPr>
          <w:ilvl w:val="1"/>
          <w:numId w:val="1005"/>
        </w:numPr>
      </w:pPr>
      <w:hyperlink w:anchor="content-validation-approach">
        <w:r>
          <w:rPr>
            <w:rStyle w:val="Hyperlink"/>
          </w:rPr>
          <w:t xml:space="preserve">5.4 Content Validation Approach</w:t>
        </w:r>
      </w:hyperlink>
    </w:p>
    <w:p>
      <w:pPr>
        <w:pStyle w:val="Compact"/>
        <w:numPr>
          <w:ilvl w:val="0"/>
          <w:numId w:val="1001"/>
        </w:numPr>
      </w:pPr>
      <w:hyperlink w:anchor="genai-integration">
        <w:r>
          <w:rPr>
            <w:rStyle w:val="Hyperlink"/>
          </w:rPr>
          <w:t xml:space="preserve">6. GenAI Integration</w:t>
        </w:r>
      </w:hyperlink>
    </w:p>
    <w:p>
      <w:pPr>
        <w:pStyle w:val="Compact"/>
        <w:numPr>
          <w:ilvl w:val="1"/>
          <w:numId w:val="1006"/>
        </w:numPr>
      </w:pPr>
      <w:hyperlink w:anchor="genai-platforms-utilised">
        <w:r>
          <w:rPr>
            <w:rStyle w:val="Hyperlink"/>
          </w:rPr>
          <w:t xml:space="preserve">6.1 GenAI Platforms Utilised</w:t>
        </w:r>
      </w:hyperlink>
    </w:p>
    <w:p>
      <w:pPr>
        <w:pStyle w:val="Compact"/>
        <w:numPr>
          <w:ilvl w:val="1"/>
          <w:numId w:val="1006"/>
        </w:numPr>
      </w:pPr>
      <w:hyperlink w:anchor="specific-use-cases-and-prompts-used">
        <w:r>
          <w:rPr>
            <w:rStyle w:val="Hyperlink"/>
          </w:rPr>
          <w:t xml:space="preserve">6.2 Specific Use Cases and Prompts Used</w:t>
        </w:r>
      </w:hyperlink>
    </w:p>
    <w:p>
      <w:pPr>
        <w:pStyle w:val="Compact"/>
        <w:numPr>
          <w:ilvl w:val="1"/>
          <w:numId w:val="1006"/>
        </w:numPr>
      </w:pPr>
      <w:hyperlink w:anchor="X2777e78f1c3048974de7e654cd97463a6f18faa">
        <w:r>
          <w:rPr>
            <w:rStyle w:val="Hyperlink"/>
          </w:rPr>
          <w:t xml:space="preserve">6.3 Quality Assurance Process for AI-Generated Content</w:t>
        </w:r>
      </w:hyperlink>
    </w:p>
    <w:p>
      <w:pPr>
        <w:pStyle w:val="Compact"/>
        <w:numPr>
          <w:ilvl w:val="0"/>
          <w:numId w:val="1001"/>
        </w:numPr>
      </w:pPr>
      <w:hyperlink w:anchor="user-testing">
        <w:r>
          <w:rPr>
            <w:rStyle w:val="Hyperlink"/>
          </w:rPr>
          <w:t xml:space="preserve">7. User Testing</w:t>
        </w:r>
      </w:hyperlink>
    </w:p>
    <w:p>
      <w:pPr>
        <w:pStyle w:val="Compact"/>
        <w:numPr>
          <w:ilvl w:val="1"/>
          <w:numId w:val="1007"/>
        </w:numPr>
      </w:pPr>
      <w:hyperlink w:anchor="testing-methodology">
        <w:r>
          <w:rPr>
            <w:rStyle w:val="Hyperlink"/>
          </w:rPr>
          <w:t xml:space="preserve">7.1 Testing Methodology</w:t>
        </w:r>
      </w:hyperlink>
    </w:p>
    <w:p>
      <w:pPr>
        <w:pStyle w:val="Compact"/>
        <w:numPr>
          <w:ilvl w:val="1"/>
          <w:numId w:val="1007"/>
        </w:numPr>
      </w:pPr>
      <w:hyperlink w:anchor="X8934383bf4103850ea51e6f1cd2cfda0df8e7bf">
        <w:r>
          <w:rPr>
            <w:rStyle w:val="Hyperlink"/>
          </w:rPr>
          <w:t xml:space="preserve">7.2 Round 1</w:t>
        </w:r>
      </w:hyperlink>
    </w:p>
    <w:p>
      <w:pPr>
        <w:pStyle w:val="Compact"/>
        <w:numPr>
          <w:ilvl w:val="1"/>
          <w:numId w:val="1007"/>
        </w:numPr>
      </w:pPr>
      <w:hyperlink w:anchor="Xedd96da0a10b3e150c763ead6ae5eabd339709e">
        <w:r>
          <w:rPr>
            <w:rStyle w:val="Hyperlink"/>
          </w:rPr>
          <w:t xml:space="preserve">7.3 Round 2</w:t>
        </w:r>
      </w:hyperlink>
    </w:p>
    <w:p>
      <w:pPr>
        <w:pStyle w:val="Compact"/>
        <w:numPr>
          <w:ilvl w:val="1"/>
          <w:numId w:val="1007"/>
        </w:numPr>
      </w:pPr>
      <w:hyperlink w:anchor="Xf7aa200b0791ca2fa80e0c898bc1eebc03b3d39">
        <w:r>
          <w:rPr>
            <w:rStyle w:val="Hyperlink"/>
          </w:rPr>
          <w:t xml:space="preserve">7.4 Round 3</w:t>
        </w:r>
      </w:hyperlink>
    </w:p>
    <w:p>
      <w:pPr>
        <w:pStyle w:val="Compact"/>
        <w:numPr>
          <w:ilvl w:val="1"/>
          <w:numId w:val="1007"/>
        </w:numPr>
      </w:pPr>
      <w:hyperlink w:anchor="X219962956e5610b5a79688ff507d1ae554c9a66">
        <w:r>
          <w:rPr>
            <w:rStyle w:val="Hyperlink"/>
          </w:rPr>
          <w:t xml:space="preserve">7.5 Round 4</w:t>
        </w:r>
      </w:hyperlink>
    </w:p>
    <w:p>
      <w:pPr>
        <w:pStyle w:val="Compact"/>
        <w:numPr>
          <w:ilvl w:val="1"/>
          <w:numId w:val="1007"/>
        </w:numPr>
      </w:pPr>
      <w:hyperlink w:anchor="testing-summary">
        <w:r>
          <w:rPr>
            <w:rStyle w:val="Hyperlink"/>
          </w:rPr>
          <w:t xml:space="preserve">7.6 Testing Summary</w:t>
        </w:r>
      </w:hyperlink>
    </w:p>
    <w:p>
      <w:pPr>
        <w:pStyle w:val="Compact"/>
        <w:numPr>
          <w:ilvl w:val="0"/>
          <w:numId w:val="1001"/>
        </w:numPr>
      </w:pPr>
      <w:hyperlink w:anchor="quality-enhancements">
        <w:r>
          <w:rPr>
            <w:rStyle w:val="Hyperlink"/>
          </w:rPr>
          <w:t xml:space="preserve">8. Quality Enhancements</w:t>
        </w:r>
      </w:hyperlink>
    </w:p>
    <w:p>
      <w:pPr>
        <w:pStyle w:val="Compact"/>
        <w:numPr>
          <w:ilvl w:val="1"/>
          <w:numId w:val="1008"/>
        </w:numPr>
      </w:pPr>
      <w:hyperlink w:anchor="clarity-improvements">
        <w:r>
          <w:rPr>
            <w:rStyle w:val="Hyperlink"/>
          </w:rPr>
          <w:t xml:space="preserve">8.1 Clarity Improvements</w:t>
        </w:r>
      </w:hyperlink>
    </w:p>
    <w:p>
      <w:pPr>
        <w:pStyle w:val="Compact"/>
        <w:numPr>
          <w:ilvl w:val="1"/>
          <w:numId w:val="1008"/>
        </w:numPr>
      </w:pPr>
      <w:hyperlink w:anchor="engagement-enhancements">
        <w:r>
          <w:rPr>
            <w:rStyle w:val="Hyperlink"/>
          </w:rPr>
          <w:t xml:space="preserve">8.2 Engagement Enhancements</w:t>
        </w:r>
      </w:hyperlink>
    </w:p>
    <w:p>
      <w:pPr>
        <w:pStyle w:val="Compact"/>
        <w:numPr>
          <w:ilvl w:val="1"/>
          <w:numId w:val="1008"/>
        </w:numPr>
      </w:pPr>
      <w:hyperlink w:anchor="accuracy-refinements">
        <w:r>
          <w:rPr>
            <w:rStyle w:val="Hyperlink"/>
          </w:rPr>
          <w:t xml:space="preserve">8.3 Accuracy Refinements</w:t>
        </w:r>
      </w:hyperlink>
    </w:p>
    <w:p>
      <w:pPr>
        <w:pStyle w:val="Compact"/>
        <w:numPr>
          <w:ilvl w:val="1"/>
          <w:numId w:val="1008"/>
        </w:numPr>
      </w:pPr>
      <w:hyperlink w:anchor="accessibility-considerations">
        <w:r>
          <w:rPr>
            <w:rStyle w:val="Hyperlink"/>
          </w:rPr>
          <w:t xml:space="preserve">8.4 Accessibility Considerations</w:t>
        </w:r>
      </w:hyperlink>
    </w:p>
    <w:p>
      <w:pPr>
        <w:pStyle w:val="Compact"/>
        <w:numPr>
          <w:ilvl w:val="1"/>
          <w:numId w:val="1008"/>
        </w:numPr>
      </w:pPr>
      <w:hyperlink w:anchor="alignment-with-learning-objectives">
        <w:r>
          <w:rPr>
            <w:rStyle w:val="Hyperlink"/>
          </w:rPr>
          <w:t xml:space="preserve">8.5 Alignment with Learning Objectives</w:t>
        </w:r>
      </w:hyperlink>
    </w:p>
    <w:p>
      <w:pPr>
        <w:pStyle w:val="Compact"/>
        <w:numPr>
          <w:ilvl w:val="0"/>
          <w:numId w:val="1001"/>
        </w:numPr>
      </w:pPr>
      <w:hyperlink w:anchor="reflection-and-lessons-learned">
        <w:r>
          <w:rPr>
            <w:rStyle w:val="Hyperlink"/>
          </w:rPr>
          <w:t xml:space="preserve">9. Reflection and Lessons Learned</w:t>
        </w:r>
      </w:hyperlink>
    </w:p>
    <w:p>
      <w:pPr>
        <w:pStyle w:val="Compact"/>
        <w:numPr>
          <w:ilvl w:val="1"/>
          <w:numId w:val="1009"/>
        </w:numPr>
      </w:pPr>
      <w:hyperlink w:anchor="what-worked-well">
        <w:r>
          <w:rPr>
            <w:rStyle w:val="Hyperlink"/>
          </w:rPr>
          <w:t xml:space="preserve">9.1 What Worked Well</w:t>
        </w:r>
      </w:hyperlink>
    </w:p>
    <w:p>
      <w:pPr>
        <w:pStyle w:val="Compact"/>
        <w:numPr>
          <w:ilvl w:val="1"/>
          <w:numId w:val="1009"/>
        </w:numPr>
      </w:pPr>
      <w:hyperlink w:anchor="what-could-be-improved">
        <w:r>
          <w:rPr>
            <w:rStyle w:val="Hyperlink"/>
          </w:rPr>
          <w:t xml:space="preserve">9.2 What Could Be Improved</w:t>
        </w:r>
      </w:hyperlink>
    </w:p>
    <w:p>
      <w:pPr>
        <w:pStyle w:val="Compact"/>
        <w:numPr>
          <w:ilvl w:val="1"/>
          <w:numId w:val="1009"/>
        </w:numPr>
      </w:pPr>
      <w:hyperlink w:anchor="technology-utilisation-insights">
        <w:r>
          <w:rPr>
            <w:rStyle w:val="Hyperlink"/>
          </w:rPr>
          <w:t xml:space="preserve">9.3 Technology Utilisation Insights</w:t>
        </w:r>
      </w:hyperlink>
    </w:p>
    <w:p>
      <w:pPr>
        <w:pStyle w:val="Compact"/>
        <w:numPr>
          <w:ilvl w:val="1"/>
          <w:numId w:val="1009"/>
        </w:numPr>
      </w:pPr>
      <w:hyperlink w:anchor="Xf86b4c3bb1cd615a330997e43e4a1d7774a9333">
        <w:r>
          <w:rPr>
            <w:rStyle w:val="Hyperlink"/>
          </w:rPr>
          <w:t xml:space="preserve">9.4 Recommendations for Future Training Development</w:t>
        </w:r>
      </w:hyperlink>
    </w:p>
    <w:p>
      <w:pPr>
        <w:pStyle w:val="Compact"/>
        <w:numPr>
          <w:ilvl w:val="0"/>
          <w:numId w:val="1001"/>
        </w:numPr>
      </w:pPr>
      <w:hyperlink w:anchor="conclusion">
        <w:r>
          <w:rPr>
            <w:rStyle w:val="Hyperlink"/>
          </w:rPr>
          <w:t xml:space="preserve">10. Conclusion</w:t>
        </w:r>
      </w:hyperlink>
    </w:p>
    <w:p>
      <w:pPr>
        <w:pStyle w:val="Compact"/>
        <w:numPr>
          <w:ilvl w:val="0"/>
          <w:numId w:val="1001"/>
        </w:numPr>
      </w:pPr>
      <w:hyperlink w:anchor="references">
        <w:r>
          <w:rPr>
            <w:rStyle w:val="Hyperlink"/>
          </w:rPr>
          <w:t xml:space="preserve">11. References</w:t>
        </w:r>
      </w:hyperlink>
    </w:p>
    <w:p>
      <w:pPr>
        <w:pStyle w:val="Compact"/>
        <w:numPr>
          <w:ilvl w:val="0"/>
          <w:numId w:val="1001"/>
        </w:numPr>
      </w:pPr>
      <w:hyperlink w:anchor="X270d019d39e83d6d09fbf3086f0492d0e734d4d">
        <w:r>
          <w:rPr>
            <w:rStyle w:val="Hyperlink"/>
          </w:rPr>
          <w:t xml:space="preserve">12. Appendix: System Architecture and Technology Stack</w:t>
        </w:r>
      </w:hyperlink>
    </w:p>
    <w:p>
      <w:pPr>
        <w:pStyle w:val="Compact"/>
        <w:numPr>
          <w:ilvl w:val="1"/>
          <w:numId w:val="1010"/>
        </w:numPr>
      </w:pPr>
      <w:hyperlink w:anchor="system-architecture-diagram">
        <w:r>
          <w:rPr>
            <w:rStyle w:val="Hyperlink"/>
          </w:rPr>
          <w:t xml:space="preserve">12.1 System Architecture Diagram</w:t>
        </w:r>
      </w:hyperlink>
    </w:p>
    <w:p>
      <w:pPr>
        <w:pStyle w:val="Compact"/>
        <w:numPr>
          <w:ilvl w:val="1"/>
          <w:numId w:val="1010"/>
        </w:numPr>
      </w:pPr>
      <w:hyperlink w:anchor="technology-stack-by-layer">
        <w:r>
          <w:rPr>
            <w:rStyle w:val="Hyperlink"/>
          </w:rPr>
          <w:t xml:space="preserve">12.2 Technology Stack by Layer</w:t>
        </w:r>
      </w:hyperlink>
    </w:p>
    <w:p>
      <w:r>
        <w:pict>
          <v:rect style="width:0;height:1.5pt" o:hralign="center" o:hrstd="t" o:hr="t"/>
        </w:pict>
      </w:r>
    </w:p>
    <w:bookmarkEnd w:id="12"/>
    <w:bookmarkStart w:id="13" w:name="executive-summary"/>
    <w:p>
      <w:pPr>
        <w:pStyle w:val="Heading2"/>
      </w:pPr>
      <w:r>
        <w:t xml:space="preserve">1. Executive Summary</w:t>
      </w:r>
    </w:p>
    <w:p>
      <w:pPr>
        <w:pStyle w:val="FirstParagraph"/>
      </w:pPr>
      <w:r>
        <w:t xml:space="preserve">This report documents the development of</w:t>
      </w:r>
      <w:r>
        <w:t xml:space="preserve"> </w:t>
      </w:r>
      <w:r>
        <w:rPr>
          <w:b/>
          <w:bCs/>
        </w:rPr>
        <w:t xml:space="preserve">GuardYourData</w:t>
      </w:r>
      <w:r>
        <w:t xml:space="preserve">, a full-stack</w:t>
      </w:r>
      <w:r>
        <w:t xml:space="preserve"> </w:t>
      </w:r>
      <w:r>
        <w:t xml:space="preserve">interactive cybersecurity literacy platform designed for non-technical</w:t>
      </w:r>
      <w:r>
        <w:t xml:space="preserve"> </w:t>
      </w:r>
      <w:r>
        <w:t xml:space="preserve">managers and operational staff at digital wallet companies operating in</w:t>
      </w:r>
      <w:r>
        <w:t xml:space="preserve"> </w:t>
      </w:r>
      <w:r>
        <w:t xml:space="preserve">Hong Kong. The platform was built in response to a critical and</w:t>
      </w:r>
      <w:r>
        <w:t xml:space="preserve"> </w:t>
      </w:r>
      <w:r>
        <w:t xml:space="preserve">demonstrably underserved capability gap: while data breaches continue to</w:t>
      </w:r>
      <w:r>
        <w:t xml:space="preserve"> </w:t>
      </w:r>
      <w:r>
        <w:t xml:space="preserve">escalate in frequency and financial severity, averaging US$4.88</w:t>
      </w:r>
      <w:r>
        <w:t xml:space="preserve"> </w:t>
      </w:r>
      <w:r>
        <w:t xml:space="preserve">million globally and US$6.08 million in the financial services sector</w:t>
      </w:r>
      <w:r>
        <w:t xml:space="preserve"> </w:t>
      </w:r>
      <w:r>
        <w:t xml:space="preserve">in 2024 (IBM, 2024), the majority of FinTech organisations lack</w:t>
      </w:r>
      <w:r>
        <w:t xml:space="preserve"> </w:t>
      </w:r>
      <w:r>
        <w:t xml:space="preserve">structured training that contextualises technical threats within the</w:t>
      </w:r>
      <w:r>
        <w:t xml:space="preserve"> </w:t>
      </w:r>
      <w:r>
        <w:t xml:space="preserve">business, regulatory, and financial consequences that non-technical</w:t>
      </w:r>
      <w:r>
        <w:t xml:space="preserve"> </w:t>
      </w:r>
      <w:r>
        <w:t xml:space="preserve">decision-makers are responsible for managing.</w:t>
      </w:r>
    </w:p>
    <w:p>
      <w:pPr>
        <w:pStyle w:val="BodyText"/>
      </w:pPr>
      <w:r>
        <w:t xml:space="preserve">The platform delivers a 3-hour curriculum across five progressive</w:t>
      </w:r>
      <w:r>
        <w:t xml:space="preserve"> </w:t>
      </w:r>
      <w:r>
        <w:t xml:space="preserve">modules covering breach definitions, attack vectors, financial and</w:t>
      </w:r>
      <w:r>
        <w:t xml:space="preserve"> </w:t>
      </w:r>
      <w:r>
        <w:t xml:space="preserve">regulatory impact, protective controls, and real-world case studies. It</w:t>
      </w:r>
      <w:r>
        <w:t xml:space="preserve"> </w:t>
      </w:r>
      <w:r>
        <w:t xml:space="preserve">incorporates 50 multiple-choice questions with 150-200-word explanations</w:t>
      </w:r>
      <w:r>
        <w:t xml:space="preserve"> </w:t>
      </w:r>
      <w:r>
        <w:t xml:space="preserve">mapped to three Bloom’s Taxonomy difficulty levels, a gamified progress</w:t>
      </w:r>
      <w:r>
        <w:t xml:space="preserve"> </w:t>
      </w:r>
      <w:r>
        <w:t xml:space="preserve">dashboard, a searchable regulatory glossary, a live threat feed, and an</w:t>
      </w:r>
      <w:r>
        <w:t xml:space="preserve"> </w:t>
      </w:r>
      <w:r>
        <w:t xml:space="preserve">admin analytics interface. Four generative AI platforms, Claude 3.5</w:t>
      </w:r>
      <w:r>
        <w:t xml:space="preserve"> </w:t>
      </w:r>
      <w:r>
        <w:t xml:space="preserve">Sonnet, ChatGPT-4o, Gemini 1.5 Pro, and GitHub Copilot, were used</w:t>
      </w:r>
      <w:r>
        <w:t xml:space="preserve"> </w:t>
      </w:r>
      <w:r>
        <w:t xml:space="preserve">across content drafting, MCQ generation, code development, and quality</w:t>
      </w:r>
      <w:r>
        <w:t xml:space="preserve"> </w:t>
      </w:r>
      <w:r>
        <w:t xml:space="preserve">assurance, with a structured three-gate review protocol applied to all</w:t>
      </w:r>
      <w:r>
        <w:t xml:space="preserve"> </w:t>
      </w:r>
      <w:r>
        <w:t xml:space="preserve">AI-generated content.</w:t>
      </w:r>
    </w:p>
    <w:p>
      <w:pPr>
        <w:pStyle w:val="BodyText"/>
      </w:pPr>
      <w:r>
        <w:t xml:space="preserve">From a learner perspective, the platform is used as a complete</w:t>
      </w:r>
      <w:r>
        <w:t xml:space="preserve"> </w:t>
      </w:r>
      <w:r>
        <w:t xml:space="preserve">interactive journey: users visit</w:t>
      </w:r>
      <w:r>
        <w:t xml:space="preserve"> </w:t>
      </w:r>
      <w:r>
        <w:rPr>
          <w:rStyle w:val="VerbatimChar"/>
        </w:rPr>
        <w:t xml:space="preserve">https://guardyourdata.me</w:t>
      </w:r>
      <w:r>
        <w:t xml:space="preserve">, create a</w:t>
      </w:r>
      <w:r>
        <w:t xml:space="preserve"> </w:t>
      </w:r>
      <w:r>
        <w:t xml:space="preserve">profile, sign in, watch module videos created by the author using</w:t>
      </w:r>
      <w:r>
        <w:t xml:space="preserve"> </w:t>
      </w:r>
      <w:r>
        <w:t xml:space="preserve">NotebookLM-assisted scripting, complete module MCQs, practise with the</w:t>
      </w:r>
      <w:r>
        <w:t xml:space="preserve"> </w:t>
      </w:r>
      <w:r>
        <w:t xml:space="preserve">game feature, and track completion and scores in the progress dashboard.</w:t>
      </w:r>
      <w:r>
        <w:t xml:space="preserve"> </w:t>
      </w:r>
      <w:r>
        <w:t xml:space="preserve">This learner flow was intentionally designed to move beyond passive</w:t>
      </w:r>
      <w:r>
        <w:t xml:space="preserve"> </w:t>
      </w:r>
      <w:r>
        <w:t xml:space="preserve">slide viewing and drive active learning, recall, and behavioural change.</w:t>
      </w:r>
    </w:p>
    <w:p>
      <w:pPr>
        <w:pStyle w:val="BodyText"/>
      </w:pPr>
      <w:r>
        <w:t xml:space="preserve">Four rounds of live user testing were conducted with testers drawn from</w:t>
      </w:r>
      <w:r>
        <w:t xml:space="preserve"> </w:t>
      </w:r>
      <w:r>
        <w:t xml:space="preserve">diverse backgrounds, a Hong Kong-based non-technical executive (HKBU),</w:t>
      </w:r>
      <w:r>
        <w:t xml:space="preserve"> </w:t>
      </w:r>
      <w:r>
        <w:t xml:space="preserve">a technical developer (HKU), a Business Administration student from</w:t>
      </w:r>
      <w:r>
        <w:t xml:space="preserve"> </w:t>
      </w:r>
      <w:r>
        <w:t xml:space="preserve">Nepal, and a retired senior-aged government official, generating 24</w:t>
      </w:r>
      <w:r>
        <w:t xml:space="preserve"> </w:t>
      </w:r>
      <w:r>
        <w:t xml:space="preserve">documented interface and content improvements. The final platform meets</w:t>
      </w:r>
      <w:r>
        <w:t xml:space="preserve"> </w:t>
      </w:r>
      <w:r>
        <w:t xml:space="preserve">WCAG 2.1 Level AA accessibility standards, achieves sub-1.5 second</w:t>
      </w:r>
      <w:r>
        <w:t xml:space="preserve"> </w:t>
      </w:r>
      <w:r>
        <w:t xml:space="preserve">initial load on 4G mobile connections through Vite code splitting, and</w:t>
      </w:r>
      <w:r>
        <w:t xml:space="preserve"> </w:t>
      </w:r>
      <w:r>
        <w:t xml:space="preserve">demonstrates learning effectiveness across all four tester groups with</w:t>
      </w:r>
      <w:r>
        <w:t xml:space="preserve"> </w:t>
      </w:r>
      <w:r>
        <w:t xml:space="preserve">final quiz scores ranging from 65% (Basic filter, senior user) to 93%</w:t>
      </w:r>
      <w:r>
        <w:t xml:space="preserve"> </w:t>
      </w:r>
      <w:r>
        <w:t xml:space="preserve">(Advanced filter, technical user).</w:t>
      </w:r>
    </w:p>
    <w:p>
      <w:r>
        <w:pict>
          <v:rect style="width:0;height:1.5pt" o:hralign="center" o:hrstd="t" o:hr="t"/>
        </w:pict>
      </w:r>
    </w:p>
    <w:bookmarkEnd w:id="13"/>
    <w:bookmarkStart w:id="17" w:name="introduction"/>
    <w:p>
      <w:pPr>
        <w:pStyle w:val="Heading2"/>
      </w:pPr>
      <w:r>
        <w:t xml:space="preserve">2. Introduction</w:t>
      </w:r>
    </w:p>
    <w:bookmarkStart w:id="14" w:name="purpose"/>
    <w:p>
      <w:pPr>
        <w:pStyle w:val="Heading3"/>
      </w:pPr>
      <w:r>
        <w:t xml:space="preserve">2.1 Purpose</w:t>
      </w:r>
    </w:p>
    <w:p>
      <w:pPr>
        <w:pStyle w:val="FirstParagraph"/>
      </w:pPr>
      <w:r>
        <w:t xml:space="preserve">This report fulfils the FIN7900 individual assignment reporting</w:t>
      </w:r>
      <w:r>
        <w:t xml:space="preserve"> </w:t>
      </w:r>
      <w:r>
        <w:t xml:space="preserve">requirement. It documents, with precision and transparency, the research</w:t>
      </w:r>
      <w:r>
        <w:t xml:space="preserve"> </w:t>
      </w:r>
      <w:r>
        <w:t xml:space="preserve">methodology, content development decisions, GenAI integration process,</w:t>
      </w:r>
      <w:r>
        <w:t xml:space="preserve"> </w:t>
      </w:r>
      <w:r>
        <w:t xml:space="preserve">real-person testing findings, iterative quality improvements, and</w:t>
      </w:r>
      <w:r>
        <w:t xml:space="preserve"> </w:t>
      </w:r>
      <w:r>
        <w:t xml:space="preserve">critical reflections that shaped GuardYourData from concept to</w:t>
      </w:r>
      <w:r>
        <w:t xml:space="preserve"> </w:t>
      </w:r>
      <w:r>
        <w:t xml:space="preserve">deployment. It is written in a Deloitte-style management consultancy</w:t>
      </w:r>
      <w:r>
        <w:t xml:space="preserve"> </w:t>
      </w:r>
      <w:r>
        <w:t xml:space="preserve">format: evidence-led, structured, and decision-oriented for a</w:t>
      </w:r>
      <w:r>
        <w:t xml:space="preserve"> </w:t>
      </w:r>
      <w:r>
        <w:t xml:space="preserve">non-technical leadership audience.</w:t>
      </w:r>
    </w:p>
    <w:bookmarkEnd w:id="14"/>
    <w:bookmarkStart w:id="15" w:name="scope-and-boundaries"/>
    <w:p>
      <w:pPr>
        <w:pStyle w:val="Heading3"/>
      </w:pPr>
      <w:r>
        <w:t xml:space="preserve">2.2 Scope and Boundaries</w:t>
      </w:r>
    </w:p>
    <w:p>
      <w:pPr>
        <w:pStyle w:val="FirstParagraph"/>
      </w:pPr>
      <w:r>
        <w:t xml:space="preserve">This report covers the full training-material development lifecycle</w:t>
      </w:r>
      <w:r>
        <w:t xml:space="preserve"> </w:t>
      </w:r>
      <w:r>
        <w:t xml:space="preserve">required by the assignment, including research, design, AI integration,</w:t>
      </w:r>
      <w:r>
        <w:t xml:space="preserve"> </w:t>
      </w:r>
      <w:r>
        <w:t xml:space="preserve">testing, and quality assurance. It does not re-present the training</w:t>
      </w:r>
      <w:r>
        <w:t xml:space="preserve"> </w:t>
      </w:r>
      <w:r>
        <w:t xml:space="preserve">materials themselves, which are accessible live on the deployed</w:t>
      </w:r>
      <w:r>
        <w:t xml:space="preserve"> </w:t>
      </w:r>
      <w:r>
        <w:t xml:space="preserve">platform. All statistics cited in this report have been verified against</w:t>
      </w:r>
      <w:r>
        <w:t xml:space="preserve"> </w:t>
      </w:r>
      <w:r>
        <w:t xml:space="preserve">their primary source documents; where limitations in data currency are</w:t>
      </w:r>
      <w:r>
        <w:t xml:space="preserve"> </w:t>
      </w:r>
      <w:r>
        <w:t xml:space="preserve">known, they are acknowledged.</w:t>
      </w:r>
    </w:p>
    <w:bookmarkEnd w:id="15"/>
    <w:bookmarkStart w:id="16" w:name="report-structure"/>
    <w:p>
      <w:pPr>
        <w:pStyle w:val="Heading3"/>
      </w:pPr>
      <w:r>
        <w:t xml:space="preserve">2.3 Report Structure</w:t>
      </w:r>
    </w:p>
    <w:p>
      <w:pPr>
        <w:pStyle w:val="FirstParagraph"/>
      </w:pPr>
      <w:r>
        <w:t xml:space="preserve">This report follows a logical progression from context to methods,</w:t>
      </w:r>
      <w:r>
        <w:t xml:space="preserve"> </w:t>
      </w:r>
      <w:r>
        <w:t xml:space="preserve">implementation, testing, quality assurance, and conclusions. Each</w:t>
      </w:r>
      <w:r>
        <w:t xml:space="preserve"> </w:t>
      </w:r>
      <w:r>
        <w:t xml:space="preserve">section is aligned to the grading criteria to ensure traceability</w:t>
      </w:r>
      <w:r>
        <w:t xml:space="preserve"> </w:t>
      </w:r>
      <w:r>
        <w:t xml:space="preserve">between deliverables and assessment expectations.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22" w:name="background-and-context"/>
    <w:p>
      <w:pPr>
        <w:pStyle w:val="Heading2"/>
      </w:pPr>
      <w:r>
        <w:t xml:space="preserve">3. Background and Context</w:t>
      </w:r>
    </w:p>
    <w:bookmarkStart w:id="18" w:name="the-business-problem"/>
    <w:p>
      <w:pPr>
        <w:pStyle w:val="Heading3"/>
      </w:pPr>
      <w:r>
        <w:t xml:space="preserve">3.1 The Business Problem</w:t>
      </w:r>
    </w:p>
    <w:p>
      <w:pPr>
        <w:pStyle w:val="FirstParagraph"/>
      </w:pPr>
      <w:r>
        <w:t xml:space="preserve">As Head of Business Development at a FinTech company operating a mobile</w:t>
      </w:r>
      <w:r>
        <w:t xml:space="preserve"> </w:t>
      </w:r>
      <w:r>
        <w:t xml:space="preserve">digital wallet in Hong Kong, the strategic imperative is clear: the</w:t>
      </w:r>
      <w:r>
        <w:t xml:space="preserve"> </w:t>
      </w:r>
      <w:r>
        <w:t xml:space="preserve">organisation’s commercial viability depends entirely on customer trust</w:t>
      </w:r>
      <w:r>
        <w:t xml:space="preserve"> </w:t>
      </w:r>
      <w:r>
        <w:t xml:space="preserve">in the security of its platform. Digital wallets occupy a uniquely</w:t>
      </w:r>
      <w:r>
        <w:t xml:space="preserve"> </w:t>
      </w:r>
      <w:r>
        <w:t xml:space="preserve">high-risk position in the cybersecurity threat landscape because they</w:t>
      </w:r>
      <w:r>
        <w:t xml:space="preserve"> </w:t>
      </w:r>
      <w:r>
        <w:t xml:space="preserve">aggregate, in a single accessible system, the most sensitive categories</w:t>
      </w:r>
      <w:r>
        <w:t xml:space="preserve"> </w:t>
      </w:r>
      <w:r>
        <w:t xml:space="preserve">of personal and financial data, verified government identities,</w:t>
      </w:r>
      <w:r>
        <w:t xml:space="preserve"> </w:t>
      </w:r>
      <w:r>
        <w:t xml:space="preserve">biometric authentication templates, payment card credentials, real-time</w:t>
      </w:r>
      <w:r>
        <w:t xml:space="preserve"> </w:t>
      </w:r>
      <w:r>
        <w:t xml:space="preserve">transaction histories, and geolocation data. A complete digital wallet</w:t>
      </w:r>
      <w:r>
        <w:t xml:space="preserve"> </w:t>
      </w:r>
      <w:r>
        <w:t xml:space="preserve">customer record, termed a “fullz” in criminal markets, is valued at</w:t>
      </w:r>
      <w:r>
        <w:t xml:space="preserve"> </w:t>
      </w:r>
      <w:r>
        <w:t xml:space="preserve">approximately US$310 per individual on dark web platforms (Privacy</w:t>
      </w:r>
      <w:r>
        <w:t xml:space="preserve"> </w:t>
      </w:r>
      <w:r>
        <w:t xml:space="preserve">Affairs, 2024). For an operator with 500,000 customers, this represents</w:t>
      </w:r>
      <w:r>
        <w:t xml:space="preserve"> </w:t>
      </w:r>
      <w:r>
        <w:t xml:space="preserve">a potential criminal market value of US$155 million in a single breach</w:t>
      </w:r>
      <w:r>
        <w:t xml:space="preserve"> </w:t>
      </w:r>
      <w:r>
        <w:t xml:space="preserve">event.</w:t>
      </w:r>
    </w:p>
    <w:p>
      <w:pPr>
        <w:pStyle w:val="BodyText"/>
      </w:pPr>
      <w:r>
        <w:t xml:space="preserve">The organisational challenge is not technical ignorance at the</w:t>
      </w:r>
      <w:r>
        <w:t xml:space="preserve"> </w:t>
      </w:r>
      <w:r>
        <w:t xml:space="preserve">engineering layer. It is the disconnect between the technical teams who</w:t>
      </w:r>
      <w:r>
        <w:t xml:space="preserve"> </w:t>
      </w:r>
      <w:r>
        <w:t xml:space="preserve">understand threats and the business managers, compliance officers, and</w:t>
      </w:r>
      <w:r>
        <w:t xml:space="preserve"> </w:t>
      </w:r>
      <w:r>
        <w:t xml:space="preserve">board members who authorise investment decisions, set risk tolerance,</w:t>
      </w:r>
      <w:r>
        <w:t xml:space="preserve"> </w:t>
      </w:r>
      <w:r>
        <w:t xml:space="preserve">and are ultimately accountable for regulatory compliance. IBM’s (2024)</w:t>
      </w:r>
      <w:r>
        <w:t xml:space="preserve"> </w:t>
      </w:r>
      <w:r>
        <w:t xml:space="preserve">research confirms that organisations without board-level cybersecurity</w:t>
      </w:r>
      <w:r>
        <w:t xml:space="preserve"> </w:t>
      </w:r>
      <w:r>
        <w:t xml:space="preserve">governance experience breaches that cost materially more and persist</w:t>
      </w:r>
      <w:r>
        <w:t xml:space="preserve"> </w:t>
      </w:r>
      <w:r>
        <w:t xml:space="preserve">significantly longer than those with integrated governance. Closing this</w:t>
      </w:r>
      <w:r>
        <w:t xml:space="preserve"> </w:t>
      </w:r>
      <w:r>
        <w:t xml:space="preserve">knowledge gap, not through technical training, but through</w:t>
      </w:r>
      <w:r>
        <w:t xml:space="preserve"> </w:t>
      </w:r>
      <w:r>
        <w:t xml:space="preserve">business-contextualised literacy, is the problem this platform</w:t>
      </w:r>
      <w:r>
        <w:t xml:space="preserve"> </w:t>
      </w:r>
      <w:r>
        <w:t xml:space="preserve">addresses.</w:t>
      </w:r>
    </w:p>
    <w:bookmarkEnd w:id="18"/>
    <w:bookmarkStart w:id="19" w:name="X1db90a08484d8d587a420987d895f2d361f8149"/>
    <w:p>
      <w:pPr>
        <w:pStyle w:val="Heading3"/>
      </w:pPr>
      <w:r>
        <w:t xml:space="preserve">3.2 The Training Gap in Hong Kong’s FinTech Sector</w:t>
      </w:r>
    </w:p>
    <w:p>
      <w:pPr>
        <w:pStyle w:val="FirstParagraph"/>
      </w:pPr>
      <w:r>
        <w:t xml:space="preserve">Hong Kong’s digital wallet sector operates under a multi-layered</w:t>
      </w:r>
      <w:r>
        <w:t xml:space="preserve"> </w:t>
      </w:r>
      <w:r>
        <w:t xml:space="preserve">regulatory framework that creates simultaneous compliance obligations</w:t>
      </w:r>
      <w:r>
        <w:t xml:space="preserve"> </w:t>
      </w:r>
      <w:r>
        <w:t xml:space="preserve">under the Personal Data (Privacy) Ordinance (Cap. 486), the HKMA’s</w:t>
      </w:r>
      <w:r>
        <w:t xml:space="preserve"> </w:t>
      </w:r>
      <w:r>
        <w:t xml:space="preserve">Cybersecurity Fortification Initiative 2.0, the HKMA Supervisory Policy</w:t>
      </w:r>
      <w:r>
        <w:t xml:space="preserve"> </w:t>
      </w:r>
      <w:r>
        <w:t xml:space="preserve">Manual TM-G-1, and, for operators serving EU residents, the General</w:t>
      </w:r>
      <w:r>
        <w:t xml:space="preserve"> </w:t>
      </w:r>
      <w:r>
        <w:t xml:space="preserve">Data Protection Regulation. Most available cybersecurity training either</w:t>
      </w:r>
      <w:r>
        <w:t xml:space="preserve"> </w:t>
      </w:r>
      <w:r>
        <w:t xml:space="preserve">assumes deep technical expertise (unsuitable for business managers) or</w:t>
      </w:r>
      <w:r>
        <w:t xml:space="preserve"> </w:t>
      </w:r>
      <w:r>
        <w:t xml:space="preserve">provides generic awareness content without regulatory specificity</w:t>
      </w:r>
      <w:r>
        <w:t xml:space="preserve"> </w:t>
      </w:r>
      <w:r>
        <w:t xml:space="preserve">(insufficient for compliance purposes). No existing free-to-access</w:t>
      </w:r>
      <w:r>
        <w:t xml:space="preserve"> </w:t>
      </w:r>
      <w:r>
        <w:t xml:space="preserve">platform identified in the research scope combines Hong Kong regulatory</w:t>
      </w:r>
      <w:r>
        <w:t xml:space="preserve"> </w:t>
      </w:r>
      <w:r>
        <w:t xml:space="preserve">specificity, IBM/Verizon quantitative data, real-world case study</w:t>
      </w:r>
      <w:r>
        <w:t xml:space="preserve"> </w:t>
      </w:r>
      <w:r>
        <w:t xml:space="preserve">analysis, and an interactive learning format accessible to non-technical</w:t>
      </w:r>
      <w:r>
        <w:t xml:space="preserve"> </w:t>
      </w:r>
      <w:r>
        <w:t xml:space="preserve">users of all ages and linguistic backgrounds.</w:t>
      </w:r>
    </w:p>
    <w:bookmarkEnd w:id="19"/>
    <w:bookmarkStart w:id="20" w:name="the-chosen-approach"/>
    <w:p>
      <w:pPr>
        <w:pStyle w:val="Heading3"/>
      </w:pPr>
      <w:r>
        <w:t xml:space="preserve">3.3 The Chosen Approach</w:t>
      </w:r>
    </w:p>
    <w:p>
      <w:pPr>
        <w:pStyle w:val="FirstParagraph"/>
      </w:pPr>
      <w:r>
        <w:t xml:space="preserve">GuardYourData was designed as a full-stack web application, not a</w:t>
      </w:r>
      <w:r>
        <w:t xml:space="preserve"> </w:t>
      </w:r>
      <w:r>
        <w:t xml:space="preserve">PowerPoint deck or PDF, for two strategic reasons. First, interactivity</w:t>
      </w:r>
      <w:r>
        <w:t xml:space="preserve"> </w:t>
      </w:r>
      <w:r>
        <w:t xml:space="preserve">produces materially higher engagement and retention than passive</w:t>
      </w:r>
      <w:r>
        <w:t xml:space="preserve"> </w:t>
      </w:r>
      <w:r>
        <w:t xml:space="preserve">formats; Kolb’s (1984) experiential learning framework specifically</w:t>
      </w:r>
      <w:r>
        <w:t xml:space="preserve"> </w:t>
      </w:r>
      <w:r>
        <w:t xml:space="preserve">identifies active experimentation and immediate feedback as essential</w:t>
      </w:r>
      <w:r>
        <w:t xml:space="preserve"> </w:t>
      </w:r>
      <w:r>
        <w:t xml:space="preserve">components of durable learning. Second, a deployed web application</w:t>
      </w:r>
      <w:r>
        <w:t xml:space="preserve"> </w:t>
      </w:r>
      <w:r>
        <w:t xml:space="preserve">demonstrates the same kind of security-conscious engineering that the</w:t>
      </w:r>
      <w:r>
        <w:t xml:space="preserve"> </w:t>
      </w:r>
      <w:r>
        <w:t xml:space="preserve">training content teaches, validating the platform’s credibility with</w:t>
      </w:r>
      <w:r>
        <w:t xml:space="preserve"> </w:t>
      </w:r>
      <w:r>
        <w:t xml:space="preserve">technically sophisticated users.</w:t>
      </w:r>
    </w:p>
    <w:p>
      <w:pPr>
        <w:pStyle w:val="BodyText"/>
      </w:pPr>
      <w:r>
        <w:t xml:space="preserve">The application is built using React 18, TypeScript, Vite 5, Tailwind</w:t>
      </w:r>
      <w:r>
        <w:t xml:space="preserve"> </w:t>
      </w:r>
      <w:r>
        <w:t xml:space="preserve">CSS, Express.js, and MySQL-compatible persistence with local-file</w:t>
      </w:r>
      <w:r>
        <w:t xml:space="preserve"> </w:t>
      </w:r>
      <w:r>
        <w:t xml:space="preserve">fallback for continuity. Learners register a profile and sign in</w:t>
      </w:r>
      <w:r>
        <w:t xml:space="preserve"> </w:t>
      </w:r>
      <w:r>
        <w:t xml:space="preserve">securely, then progress through modules, videos, MCQs, and game-based</w:t>
      </w:r>
      <w:r>
        <w:t xml:space="preserve"> </w:t>
      </w:r>
      <w:r>
        <w:t xml:space="preserve">practice while their progress is tracked in personal dashboards. Video</w:t>
      </w:r>
      <w:r>
        <w:t xml:space="preserve"> </w:t>
      </w:r>
      <w:r>
        <w:t xml:space="preserve">assets were produced by the author using NotebookLM-assisted content</w:t>
      </w:r>
      <w:r>
        <w:t xml:space="preserve"> </w:t>
      </w:r>
      <w:r>
        <w:t xml:space="preserve">scripting to keep narration aligned with module learning objectives.</w:t>
      </w:r>
    </w:p>
    <w:bookmarkEnd w:id="20"/>
    <w:bookmarkStart w:id="21" w:name="learner-journey-on-the-live-site"/>
    <w:p>
      <w:pPr>
        <w:pStyle w:val="Heading3"/>
      </w:pPr>
      <w:r>
        <w:t xml:space="preserve">3.4 Learner Journey on the Live Site</w:t>
      </w:r>
    </w:p>
    <w:p>
      <w:pPr>
        <w:pStyle w:val="FirstParagraph"/>
      </w:pPr>
      <w:r>
        <w:t xml:space="preserve">The learner experience is sequenced to match the assignment’s practical</w:t>
      </w:r>
      <w:r>
        <w:t xml:space="preserve"> </w:t>
      </w:r>
      <w:r>
        <w:t xml:space="preserve">training goals:</w:t>
      </w:r>
    </w:p>
    <w:p>
      <w:pPr>
        <w:pStyle w:val="Compact"/>
        <w:numPr>
          <w:ilvl w:val="0"/>
          <w:numId w:val="1011"/>
        </w:numPr>
      </w:pPr>
      <w:r>
        <w:t xml:space="preserve">User enters the platform at</w:t>
      </w:r>
      <w:r>
        <w:t xml:space="preserve"> </w:t>
      </w:r>
      <w:r>
        <w:rPr>
          <w:rStyle w:val="VerbatimChar"/>
        </w:rPr>
        <w:t xml:space="preserve">https://guardyourdata.me</w:t>
      </w:r>
      <w:r>
        <w:t xml:space="preserve">, creates a</w:t>
      </w:r>
      <w:r>
        <w:t xml:space="preserve"> </w:t>
      </w:r>
      <w:r>
        <w:t xml:space="preserve">profile, and logs in.</w:t>
      </w:r>
    </w:p>
    <w:p>
      <w:pPr>
        <w:pStyle w:val="Compact"/>
        <w:numPr>
          <w:ilvl w:val="0"/>
          <w:numId w:val="1011"/>
        </w:numPr>
      </w:pPr>
      <w:r>
        <w:t xml:space="preserve">User studies each module using interactive slide content plus</w:t>
      </w:r>
      <w:r>
        <w:t xml:space="preserve"> </w:t>
      </w:r>
      <w:r>
        <w:t xml:space="preserve">embedded training videos created by the author with NotebookLM</w:t>
      </w:r>
      <w:r>
        <w:t xml:space="preserve"> </w:t>
      </w:r>
      <w:r>
        <w:t xml:space="preserve">support.</w:t>
      </w:r>
    </w:p>
    <w:p>
      <w:pPr>
        <w:pStyle w:val="Compact"/>
        <w:numPr>
          <w:ilvl w:val="0"/>
          <w:numId w:val="1011"/>
        </w:numPr>
      </w:pPr>
      <w:r>
        <w:t xml:space="preserve">User completes in-module MCQs with immediate explanation feedback.</w:t>
      </w:r>
    </w:p>
    <w:p>
      <w:pPr>
        <w:pStyle w:val="Compact"/>
        <w:numPr>
          <w:ilvl w:val="0"/>
          <w:numId w:val="1011"/>
        </w:numPr>
      </w:pPr>
      <w:r>
        <w:t xml:space="preserve">User uses the game feature for reinforcement under time pressure.</w:t>
      </w:r>
    </w:p>
    <w:p>
      <w:pPr>
        <w:pStyle w:val="Compact"/>
        <w:numPr>
          <w:ilvl w:val="0"/>
          <w:numId w:val="1011"/>
        </w:numPr>
      </w:pPr>
      <w:r>
        <w:t xml:space="preserve">User reviews progress tab metrics (completion status, scores,</w:t>
      </w:r>
      <w:r>
        <w:t xml:space="preserve"> </w:t>
      </w:r>
      <w:r>
        <w:t xml:space="preserve">attempts) and revisits weak areas.</w:t>
      </w:r>
    </w:p>
    <w:p>
      <w:pPr>
        <w:pStyle w:val="FirstParagraph"/>
      </w:pPr>
      <w:r>
        <w:t xml:space="preserve">This flow ensures measurable engagement rather than passive content</w:t>
      </w:r>
      <w:r>
        <w:t xml:space="preserve"> </w:t>
      </w:r>
      <w:r>
        <w:t xml:space="preserve">consumption and directly supports manager-level behaviour change.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6" w:name="research-methodology"/>
    <w:p>
      <w:pPr>
        <w:pStyle w:val="Heading2"/>
      </w:pPr>
      <w:r>
        <w:t xml:space="preserve">4. Research Methodology</w:t>
      </w:r>
    </w:p>
    <w:bookmarkStart w:id="23" w:name="sources-identified-and-evaluated"/>
    <w:p>
      <w:pPr>
        <w:pStyle w:val="Heading3"/>
      </w:pPr>
      <w:r>
        <w:t xml:space="preserve">4.1 Sources Identified and Evaluated</w:t>
      </w:r>
    </w:p>
    <w:p>
      <w:pPr>
        <w:pStyle w:val="FirstParagraph"/>
      </w:pPr>
      <w:r>
        <w:t xml:space="preserve">The research phase spanned twelve weeks and proceeded through four</w:t>
      </w:r>
      <w:r>
        <w:t xml:space="preserve"> </w:t>
      </w:r>
      <w:r>
        <w:t xml:space="preserve">methodological stages: source identification, evaluation and filtering,</w:t>
      </w:r>
      <w:r>
        <w:t xml:space="preserve"> </w:t>
      </w:r>
      <w:r>
        <w:t xml:space="preserve">data extraction, and synthesis.</w:t>
      </w:r>
    </w:p>
    <w:p>
      <w:pPr>
        <w:pStyle w:val="BodyText"/>
      </w:pPr>
      <w:r>
        <w:rPr>
          <w:b/>
          <w:bCs/>
        </w:rPr>
        <w:t xml:space="preserve">Source Identification</w:t>
      </w:r>
      <w:r>
        <w:t xml:space="preserve"> </w:t>
      </w:r>
      <w:r>
        <w:t xml:space="preserve">drew on three complementary channels. Academic</w:t>
      </w:r>
      <w:r>
        <w:t xml:space="preserve"> </w:t>
      </w:r>
      <w:r>
        <w:t xml:space="preserve">literature was accessed via HKBU Library’s databases (JSTOR, IEEE</w:t>
      </w:r>
      <w:r>
        <w:t xml:space="preserve"> </w:t>
      </w:r>
      <w:r>
        <w:t xml:space="preserve">Xplore, ACM Digital Library, and SSRN), surfacing foundational</w:t>
      </w:r>
      <w:r>
        <w:t xml:space="preserve"> </w:t>
      </w:r>
      <w:r>
        <w:t xml:space="preserve">theoretical frameworks for curriculum design (Knowles, 1984; Kolb, 1984;</w:t>
      </w:r>
      <w:r>
        <w:t xml:space="preserve"> </w:t>
      </w:r>
      <w:r>
        <w:t xml:space="preserve">Bulgurcu et al., 2010) and empirical cybersecurity research (Agrafiotis</w:t>
      </w:r>
      <w:r>
        <w:t xml:space="preserve"> </w:t>
      </w:r>
      <w:r>
        <w:t xml:space="preserve">et al., 2018; Anderson et al., 2019). Industry reports were sourced</w:t>
      </w:r>
      <w:r>
        <w:t xml:space="preserve"> </w:t>
      </w:r>
      <w:r>
        <w:t xml:space="preserve">directly from publisher websites to ensure citation accuracy and version</w:t>
      </w:r>
      <w:r>
        <w:t xml:space="preserve"> </w:t>
      </w:r>
      <w:r>
        <w:t xml:space="preserve">currency: IBM’s</w:t>
      </w:r>
      <w:r>
        <w:t xml:space="preserve"> </w:t>
      </w:r>
      <w:r>
        <w:rPr>
          <w:i/>
          <w:iCs/>
        </w:rPr>
        <w:t xml:space="preserve">Cost of a Data Breach Report</w:t>
      </w:r>
      <w:r>
        <w:t xml:space="preserve"> </w:t>
      </w:r>
      <w:r>
        <w:t xml:space="preserve">(2024 edition), Verizon’s</w:t>
      </w:r>
      <w:r>
        <w:t xml:space="preserve"> </w:t>
      </w:r>
      <w:r>
        <w:rPr>
          <w:i/>
          <w:iCs/>
        </w:rPr>
        <w:t xml:space="preserve">Data Breach Investigations Report</w:t>
      </w:r>
      <w:r>
        <w:t xml:space="preserve"> </w:t>
      </w:r>
      <w:r>
        <w:t xml:space="preserve">(2024 edition), PwC’s</w:t>
      </w:r>
      <w:r>
        <w:t xml:space="preserve"> </w:t>
      </w:r>
      <w:r>
        <w:rPr>
          <w:i/>
          <w:iCs/>
        </w:rPr>
        <w:t xml:space="preserve">Global</w:t>
      </w:r>
      <w:r>
        <w:rPr>
          <w:i/>
          <w:iCs/>
        </w:rPr>
        <w:t xml:space="preserve"> </w:t>
      </w:r>
      <w:r>
        <w:rPr>
          <w:i/>
          <w:iCs/>
        </w:rPr>
        <w:t xml:space="preserve">Consumer Insights Pulse Survey</w:t>
      </w:r>
      <w:r>
        <w:t xml:space="preserve"> </w:t>
      </w:r>
      <w:r>
        <w:t xml:space="preserve">(2023), and Privacy Affairs’</w:t>
      </w:r>
      <w:r>
        <w:t xml:space="preserve"> </w:t>
      </w:r>
      <w:r>
        <w:rPr>
          <w:i/>
          <w:iCs/>
        </w:rPr>
        <w:t xml:space="preserve">2024 Dark</w:t>
      </w:r>
      <w:r>
        <w:rPr>
          <w:i/>
          <w:iCs/>
        </w:rPr>
        <w:t xml:space="preserve"> </w:t>
      </w:r>
      <w:r>
        <w:rPr>
          <w:i/>
          <w:iCs/>
        </w:rPr>
        <w:t xml:space="preserve">Web Price Index</w:t>
      </w:r>
      <w:r>
        <w:t xml:space="preserve">. Regulatory primary sources were obtained directly from</w:t>
      </w:r>
      <w:r>
        <w:t xml:space="preserve"> </w:t>
      </w:r>
      <w:r>
        <w:t xml:space="preserve">issuing authorities: the PDPO Cap.486 text from Hong Kong’s</w:t>
      </w:r>
      <w:r>
        <w:t xml:space="preserve"> </w:t>
      </w:r>
      <w:r>
        <w:t xml:space="preserve">e-Legislation portal, HKMA Circulars on CFI 2.0 (March 2021), HKMA SPM</w:t>
      </w:r>
      <w:r>
        <w:t xml:space="preserve"> </w:t>
      </w:r>
      <w:r>
        <w:t xml:space="preserve">TM-G-1, the MAS Technology Risk Management Guidelines (January 2021),</w:t>
      </w:r>
      <w:r>
        <w:t xml:space="preserve"> </w:t>
      </w:r>
      <w:r>
        <w:t xml:space="preserve">the GDPR consolidated text from EUR-Lex, and the PCI Security Standards</w:t>
      </w:r>
      <w:r>
        <w:t xml:space="preserve"> </w:t>
      </w:r>
      <w:r>
        <w:t xml:space="preserve">Council’s PCI DSS v4.0 document. This sweep produced</w:t>
      </w:r>
      <w:r>
        <w:t xml:space="preserve"> </w:t>
      </w:r>
      <w:r>
        <w:rPr>
          <w:b/>
          <w:bCs/>
        </w:rPr>
        <w:t xml:space="preserve">140 candidate</w:t>
      </w:r>
      <w:r>
        <w:rPr>
          <w:b/>
          <w:bCs/>
        </w:rPr>
        <w:t xml:space="preserve"> </w:t>
      </w:r>
      <w:r>
        <w:rPr>
          <w:b/>
          <w:bCs/>
        </w:rPr>
        <w:t xml:space="preserve">sources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Source Evaluation</w:t>
      </w:r>
      <w:r>
        <w:t xml:space="preserve"> </w:t>
      </w:r>
      <w:r>
        <w:t xml:space="preserve">applied four criteria: (a)</w:t>
      </w:r>
      <w:r>
        <w:t xml:space="preserve"> </w:t>
      </w:r>
      <w:r>
        <w:rPr>
          <w:i/>
          <w:iCs/>
        </w:rPr>
        <w:t xml:space="preserve">currency</w:t>
      </w:r>
      <w:r>
        <w:t xml:space="preserve">, statistics</w:t>
      </w:r>
      <w:r>
        <w:t xml:space="preserve"> </w:t>
      </w:r>
      <w:r>
        <w:t xml:space="preserve">sourced from 2018 or later; regulatory texts must be the active version;</w:t>
      </w:r>
      <w:r>
        <w:t xml:space="preserve"> </w:t>
      </w:r>
      <w:r>
        <w:t xml:space="preserve">(b)</w:t>
      </w:r>
      <w:r>
        <w:t xml:space="preserve"> </w:t>
      </w:r>
      <w:r>
        <w:rPr>
          <w:i/>
          <w:iCs/>
        </w:rPr>
        <w:t xml:space="preserve">authoritativeness</w:t>
      </w:r>
      <w:r>
        <w:t xml:space="preserve">, primary sources, peer-reviewed journals, and</w:t>
      </w:r>
      <w:r>
        <w:t xml:space="preserve"> </w:t>
      </w:r>
      <w:r>
        <w:t xml:space="preserve">Tier 1 research houses preferred over commentary; (c)</w:t>
      </w:r>
      <w:r>
        <w:t xml:space="preserve"> </w:t>
      </w:r>
      <w:r>
        <w:rPr>
          <w:i/>
          <w:iCs/>
        </w:rPr>
        <w:t xml:space="preserve">FinTech or HK</w:t>
      </w:r>
      <w:r>
        <w:rPr>
          <w:i/>
          <w:iCs/>
        </w:rPr>
        <w:t xml:space="preserve"> </w:t>
      </w:r>
      <w:r>
        <w:rPr>
          <w:i/>
          <w:iCs/>
        </w:rPr>
        <w:t xml:space="preserve">specificity</w:t>
      </w:r>
      <w:r>
        <w:t xml:space="preserve">, direct relevance to financial technology or HK regulatory</w:t>
      </w:r>
      <w:r>
        <w:t xml:space="preserve"> </w:t>
      </w:r>
      <w:r>
        <w:t xml:space="preserve">jurisdiction weighted above generic cybersecurity material; (d)</w:t>
      </w:r>
      <w:r>
        <w:t xml:space="preserve"> </w:t>
      </w:r>
      <w:r>
        <w:rPr>
          <w:i/>
          <w:iCs/>
        </w:rPr>
        <w:t xml:space="preserve">pedagogical utility</w:t>
      </w:r>
      <w:r>
        <w:t xml:space="preserve">, data must be concrete, quantified, and</w:t>
      </w:r>
      <w:r>
        <w:t xml:space="preserve"> </w:t>
      </w:r>
      <w:r>
        <w:t xml:space="preserve">translatable to non-technical narrative. After filtering,</w:t>
      </w:r>
      <w:r>
        <w:t xml:space="preserve"> </w:t>
      </w:r>
      <w:r>
        <w:rPr>
          <w:b/>
          <w:bCs/>
        </w:rPr>
        <w:t xml:space="preserve">53 sources</w:t>
      </w:r>
      <w:r>
        <w:t xml:space="preserve"> </w:t>
      </w:r>
      <w:r>
        <w:t xml:space="preserve">were retained.</w:t>
      </w:r>
    </w:p>
    <w:bookmarkEnd w:id="23"/>
    <w:bookmarkStart w:id="24" w:name="key-findings-summary"/>
    <w:p>
      <w:pPr>
        <w:pStyle w:val="Heading3"/>
      </w:pPr>
      <w:r>
        <w:t xml:space="preserve">4.2 Key Findings Summary</w:t>
      </w:r>
    </w:p>
    <w:p>
      <w:pPr>
        <w:pStyle w:val="FirstParagraph"/>
      </w:pPr>
      <w:r>
        <w:t xml:space="preserve">Four overarching findings shaped the curriculum structure: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Financial services breaches cost more than the cross-industry</w:t>
      </w:r>
      <w:r>
        <w:rPr>
          <w:b/>
          <w:bCs/>
        </w:rPr>
        <w:t xml:space="preserve"> </w:t>
      </w:r>
      <w:r>
        <w:rPr>
          <w:b/>
          <w:bCs/>
        </w:rPr>
        <w:t xml:space="preserve">average</w:t>
      </w:r>
      <w:r>
        <w:t xml:space="preserve">, US$6.08M versus US$4.88M (IBM, 2024), establishing</w:t>
      </w:r>
      <w:r>
        <w:t xml:space="preserve"> </w:t>
      </w:r>
      <w:r>
        <w:t xml:space="preserve">the sector-specific business case for investment.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Human error or manipulation accounts for 74% of all breaches</w:t>
      </w:r>
      <w:r>
        <w:t xml:space="preserve"> </w:t>
      </w:r>
      <w:r>
        <w:t xml:space="preserve">(Verizon, 2024), confirming that business managers and operational</w:t>
      </w:r>
      <w:r>
        <w:t xml:space="preserve"> </w:t>
      </w:r>
      <w:r>
        <w:t xml:space="preserve">staff, not only technical teams, are the primary risk mitigation</w:t>
      </w:r>
      <w:r>
        <w:t xml:space="preserve"> </w:t>
      </w:r>
      <w:r>
        <w:t xml:space="preserve">lever.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Every major case study breach involved preventable control</w:t>
      </w:r>
      <w:r>
        <w:rPr>
          <w:b/>
          <w:bCs/>
        </w:rPr>
        <w:t xml:space="preserve"> </w:t>
      </w:r>
      <w:r>
        <w:rPr>
          <w:b/>
          <w:bCs/>
        </w:rPr>
        <w:t xml:space="preserve">failures</w:t>
      </w:r>
      <w:r>
        <w:t xml:space="preserve">, not zero-day exploits, Equifax (unpatched for 78 days),</w:t>
      </w:r>
      <w:r>
        <w:t xml:space="preserve"> </w:t>
      </w:r>
      <w:r>
        <w:t xml:space="preserve">Capital One (IAM over-permissioning), Medibank (no MFA on VPN). This</w:t>
      </w:r>
      <w:r>
        <w:t xml:space="preserve"> </w:t>
      </w:r>
      <w:r>
        <w:t xml:space="preserve">framing empowers non-technical learners with genuine agency.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Regulatory exposure for HK FinTechs is multi-jurisdictional</w:t>
      </w:r>
      <w:r>
        <w:t xml:space="preserve">,</w:t>
      </w:r>
      <w:r>
        <w:t xml:space="preserve"> </w:t>
      </w:r>
      <w:r>
        <w:t xml:space="preserve">simultaneous PDPO, HKMA, GDPR, and PCI DSS obligations require</w:t>
      </w:r>
      <w:r>
        <w:t xml:space="preserve"> </w:t>
      </w:r>
      <w:r>
        <w:t xml:space="preserve">structured literacy, not siloed compliance training.</w:t>
      </w:r>
    </w:p>
    <w:bookmarkEnd w:id="24"/>
    <w:bookmarkStart w:id="25" w:name="data-collection-methodology"/>
    <w:p>
      <w:pPr>
        <w:pStyle w:val="Heading3"/>
      </w:pPr>
      <w:r>
        <w:t xml:space="preserve">4.3 Data Collection Methodology</w:t>
      </w:r>
    </w:p>
    <w:p>
      <w:pPr>
        <w:pStyle w:val="FirstParagraph"/>
      </w:pPr>
      <w:r>
        <w:t xml:space="preserve">Three-stage data collection was employed. Stage 1: raw figures extracted</w:t>
      </w:r>
      <w:r>
        <w:t xml:space="preserve"> </w:t>
      </w:r>
      <w:r>
        <w:t xml:space="preserve">from primary source documents with page or section reference noted.</w:t>
      </w:r>
      <w:r>
        <w:t xml:space="preserve"> </w:t>
      </w:r>
      <w:r>
        <w:t xml:space="preserve">Stage 2: cross-verification of each statistic against at least one</w:t>
      </w:r>
      <w:r>
        <w:t xml:space="preserve"> </w:t>
      </w:r>
      <w:r>
        <w:t xml:space="preserve">secondary source for plausibility (e.g., IBM’s US$4.88M figure</w:t>
      </w:r>
      <w:r>
        <w:t xml:space="preserve"> </w:t>
      </w:r>
      <w:r>
        <w:t xml:space="preserve">cross-checked against PwC and Deloitte financial institution loss</w:t>
      </w:r>
      <w:r>
        <w:t xml:space="preserve"> </w:t>
      </w:r>
      <w:r>
        <w:t xml:space="preserve">estimates). Stage 3: currency audit, four statistics from early drafts</w:t>
      </w:r>
      <w:r>
        <w:t xml:space="preserve"> </w:t>
      </w:r>
      <w:r>
        <w:t xml:space="preserve">were updated from 2023 to 2024 IBM editions when the new report was</w:t>
      </w:r>
      <w:r>
        <w:t xml:space="preserve"> </w:t>
      </w:r>
      <w:r>
        <w:t xml:space="preserve">released mid-development. All breach-specific financials (Equifax,</w:t>
      </w:r>
      <w:r>
        <w:t xml:space="preserve"> </w:t>
      </w:r>
      <w:r>
        <w:t xml:space="preserve">Capital One, Medibank) were verified against primary sources: SEC</w:t>
      </w:r>
      <w:r>
        <w:t xml:space="preserve"> </w:t>
      </w:r>
      <w:r>
        <w:t xml:space="preserve">filings, court documents, regulatory orders, and official press</w:t>
      </w:r>
      <w:r>
        <w:t xml:space="preserve"> </w:t>
      </w:r>
      <w:r>
        <w:t xml:space="preserve">releases, rather than news articles.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1" w:name="content-development"/>
    <w:p>
      <w:pPr>
        <w:pStyle w:val="Heading2"/>
      </w:pPr>
      <w:r>
        <w:t xml:space="preserve">5. Content Development</w:t>
      </w:r>
    </w:p>
    <w:bookmarkStart w:id="27" w:name="initial-content-outline"/>
    <w:p>
      <w:pPr>
        <w:pStyle w:val="Heading3"/>
      </w:pPr>
      <w:r>
        <w:t xml:space="preserve">5.1 Initial Content Outline</w:t>
      </w:r>
    </w:p>
    <w:p>
      <w:pPr>
        <w:pStyle w:val="FirstParagraph"/>
      </w:pPr>
      <w:r>
        <w:t xml:space="preserve">The curriculum architecture was built on two adult learning frameworks</w:t>
      </w:r>
      <w:r>
        <w:t xml:space="preserve"> </w:t>
      </w:r>
      <w:r>
        <w:t xml:space="preserve">applied simultaneously. Bloom’s Taxonomy of Educational Objectives</w:t>
      </w:r>
      <w:r>
        <w:t xml:space="preserve"> </w:t>
      </w:r>
      <w:r>
        <w:t xml:space="preserve">governed cognitive sequencing across modules, each successive module</w:t>
      </w:r>
      <w:r>
        <w:t xml:space="preserve"> </w:t>
      </w:r>
      <w:r>
        <w:t xml:space="preserve">operates at a higher taxonomic level, from</w:t>
      </w:r>
      <w:r>
        <w:t xml:space="preserve"> </w:t>
      </w:r>
      <w:r>
        <w:rPr>
          <w:i/>
          <w:iCs/>
        </w:rPr>
        <w:t xml:space="preserve">Remember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Understand</w:t>
      </w:r>
      <w:r>
        <w:t xml:space="preserve"> </w:t>
      </w:r>
      <w:r>
        <w:t xml:space="preserve">(Module 1) through</w:t>
      </w:r>
      <w:r>
        <w:t xml:space="preserve"> </w:t>
      </w:r>
      <w:r>
        <w:rPr>
          <w:i/>
          <w:iCs/>
        </w:rPr>
        <w:t xml:space="preserve">Apply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Analyse</w:t>
      </w:r>
      <w:r>
        <w:t xml:space="preserve"> </w:t>
      </w:r>
      <w:r>
        <w:t xml:space="preserve">(Modules 2-4) to</w:t>
      </w:r>
      <w:r>
        <w:t xml:space="preserve"> </w:t>
      </w:r>
      <w:r>
        <w:rPr>
          <w:i/>
          <w:iCs/>
        </w:rPr>
        <w:t xml:space="preserve">Evaluate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Create</w:t>
      </w:r>
      <w:r>
        <w:t xml:space="preserve"> </w:t>
      </w:r>
      <w:r>
        <w:t xml:space="preserve">(Module 5’s action roadmap). Knowles’s (1984) andragogy</w:t>
      </w:r>
      <w:r>
        <w:t xml:space="preserve"> </w:t>
      </w:r>
      <w:r>
        <w:t xml:space="preserve">principles governed content tone and framing, adults learn most</w:t>
      </w:r>
      <w:r>
        <w:t xml:space="preserve"> </w:t>
      </w:r>
      <w:r>
        <w:t xml:space="preserve">effectively when material is immediately applicable to their</w:t>
      </w:r>
      <w:r>
        <w:t xml:space="preserve"> </w:t>
      </w:r>
      <w:r>
        <w:t xml:space="preserve">professional roles, grounded in real problems, and treats them as</w:t>
      </w:r>
      <w:r>
        <w:t xml:space="preserve"> </w:t>
      </w:r>
      <w:r>
        <w:t xml:space="preserve">capable agents rather than passive recipients.</w:t>
      </w:r>
    </w:p>
    <w:p>
      <w:pPr>
        <w:pStyle w:val="BodyText"/>
      </w:pPr>
      <w:r>
        <w:t xml:space="preserve">The five-module sequence was mapped as follows: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44"/>
        <w:gridCol w:w="3590"/>
        <w:gridCol w:w="2428"/>
        <w:gridCol w:w="105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Module</w:t>
            </w:r>
          </w:p>
        </w:tc>
        <w:tc>
          <w:tcPr/>
          <w:p>
            <w:pPr>
              <w:pStyle w:val="Compact"/>
            </w:pPr>
            <w:r>
              <w:t xml:space="preserve">Title</w:t>
            </w:r>
          </w:p>
        </w:tc>
        <w:tc>
          <w:tcPr/>
          <w:p>
            <w:pPr>
              <w:pStyle w:val="Compact"/>
            </w:pPr>
            <w:r>
              <w:t xml:space="preserve">Bloom’s Level</w:t>
            </w:r>
          </w:p>
        </w:tc>
        <w:tc>
          <w:tcPr/>
          <w:p>
            <w:pPr>
              <w:pStyle w:val="Compact"/>
            </w:pPr>
            <w:r>
              <w:t xml:space="preserve">Duration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What is a Data Breach?</w:t>
            </w:r>
          </w:p>
        </w:tc>
        <w:tc>
          <w:tcPr/>
          <w:p>
            <w:pPr>
              <w:pStyle w:val="Compact"/>
            </w:pPr>
            <w:r>
              <w:t xml:space="preserve">Remember / Understand</w:t>
            </w:r>
          </w:p>
        </w:tc>
        <w:tc>
          <w:tcPr/>
          <w:p>
            <w:pPr>
              <w:pStyle w:val="Compact"/>
            </w:pPr>
            <w:r>
              <w:t xml:space="preserve">30 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Attack Vectors &amp; Threat Patterns</w:t>
            </w:r>
          </w:p>
        </w:tc>
        <w:tc>
          <w:tcPr/>
          <w:p>
            <w:pPr>
              <w:pStyle w:val="Compact"/>
            </w:pPr>
            <w:r>
              <w:t xml:space="preserve">Understand / Apply</w:t>
            </w:r>
          </w:p>
        </w:tc>
        <w:tc>
          <w:tcPr/>
          <w:p>
            <w:pPr>
              <w:pStyle w:val="Compact"/>
            </w:pPr>
            <w:r>
              <w:t xml:space="preserve">35 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Financial &amp; Regulatory Impact</w:t>
            </w:r>
          </w:p>
        </w:tc>
        <w:tc>
          <w:tcPr/>
          <w:p>
            <w:pPr>
              <w:pStyle w:val="Compact"/>
            </w:pPr>
            <w:r>
              <w:t xml:space="preserve">Apply / Analyse</w:t>
            </w:r>
          </w:p>
        </w:tc>
        <w:tc>
          <w:tcPr/>
          <w:p>
            <w:pPr>
              <w:pStyle w:val="Compact"/>
            </w:pPr>
            <w:r>
              <w:t xml:space="preserve">35 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Protective Controls</w:t>
            </w:r>
          </w:p>
        </w:tc>
        <w:tc>
          <w:tcPr/>
          <w:p>
            <w:pPr>
              <w:pStyle w:val="Compact"/>
            </w:pPr>
            <w:r>
              <w:t xml:space="preserve">Analyse / Apply</w:t>
            </w:r>
          </w:p>
        </w:tc>
        <w:tc>
          <w:tcPr/>
          <w:p>
            <w:pPr>
              <w:pStyle w:val="Compact"/>
            </w:pPr>
            <w:r>
              <w:t xml:space="preserve">35 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Case Studies &amp; Lessons Learned</w:t>
            </w:r>
          </w:p>
        </w:tc>
        <w:tc>
          <w:tcPr/>
          <w:p>
            <w:pPr>
              <w:pStyle w:val="Compact"/>
            </w:pPr>
            <w:r>
              <w:t xml:space="preserve">Evaluate / Create</w:t>
            </w:r>
          </w:p>
        </w:tc>
        <w:tc>
          <w:tcPr/>
          <w:p>
            <w:pPr>
              <w:pStyle w:val="Compact"/>
            </w:pPr>
            <w:r>
              <w:t xml:space="preserve">35 min</w:t>
            </w:r>
          </w:p>
        </w:tc>
      </w:tr>
    </w:tbl>
    <w:p>
      <w:pPr>
        <w:pStyle w:val="BodyText"/>
      </w:pPr>
      <w:r>
        <w:t xml:space="preserve">Each module was designed with six components: a hero section with</w:t>
      </w:r>
      <w:r>
        <w:t xml:space="preserve"> </w:t>
      </w:r>
      <w:r>
        <w:t xml:space="preserve">animated statistics, an interactive slide deck (5-7 slides with</w:t>
      </w:r>
      <w:r>
        <w:t xml:space="preserve"> </w:t>
      </w:r>
      <w:r>
        <w:t xml:space="preserve">HTML-rendered tables, colour-coded info boxes, and data visualisations),</w:t>
      </w:r>
      <w:r>
        <w:t xml:space="preserve"> </w:t>
      </w:r>
      <w:r>
        <w:t xml:space="preserve">a Key Takeaways panel, a 10-question in-module MCQ section, a Quick Tips</w:t>
      </w:r>
      <w:r>
        <w:t xml:space="preserve"> </w:t>
      </w:r>
      <w:r>
        <w:t xml:space="preserve">widget, and navigation to the next module.</w:t>
      </w:r>
    </w:p>
    <w:bookmarkEnd w:id="27"/>
    <w:bookmarkStart w:id="28" w:name="challenges-encountered"/>
    <w:p>
      <w:pPr>
        <w:pStyle w:val="Heading3"/>
      </w:pPr>
      <w:r>
        <w:t xml:space="preserve">5.2 Challenges Encountered</w:t>
      </w:r>
    </w:p>
    <w:p>
      <w:pPr>
        <w:pStyle w:val="FirstParagraph"/>
      </w:pPr>
      <w:r>
        <w:rPr>
          <w:b/>
          <w:bCs/>
        </w:rPr>
        <w:t xml:space="preserve">Challenge 1, Jargon depth calibration</w:t>
      </w:r>
      <w:r>
        <w:t xml:space="preserve">: Initial drafts of Module 2</w:t>
      </w:r>
      <w:r>
        <w:t xml:space="preserve"> </w:t>
      </w:r>
      <w:r>
        <w:t xml:space="preserve">and Module 4 content were consistently rated as inaccessible by</w:t>
      </w:r>
      <w:r>
        <w:t xml:space="preserve"> </w:t>
      </w:r>
      <w:r>
        <w:t xml:space="preserve">non-technical reviewers. Terms such as “SSRF vulnerability,” “lateral</w:t>
      </w:r>
      <w:r>
        <w:t xml:space="preserve"> </w:t>
      </w:r>
      <w:r>
        <w:t xml:space="preserve">exfiltration,” and “tokenised credential sets” created comprehension</w:t>
      </w:r>
      <w:r>
        <w:t xml:space="preserve"> </w:t>
      </w:r>
      <w:r>
        <w:t xml:space="preserve">barriers that undermined otherwise accurate content.</w:t>
      </w:r>
    </w:p>
    <w:p>
      <w:pPr>
        <w:pStyle w:val="BodyText"/>
      </w:pPr>
      <w:r>
        <w:rPr>
          <w:b/>
          <w:bCs/>
        </w:rPr>
        <w:t xml:space="preserve">Challenge 2, Recency versus stability</w:t>
      </w:r>
      <w:r>
        <w:t xml:space="preserve">: IBM’s Cost of a Data Breach</w:t>
      </w:r>
      <w:r>
        <w:t xml:space="preserve"> </w:t>
      </w:r>
      <w:r>
        <w:t xml:space="preserve">Report updated its primary global figure mid-development (from US$4.45M</w:t>
      </w:r>
      <w:r>
        <w:t xml:space="preserve"> </w:t>
      </w:r>
      <w:r>
        <w:t xml:space="preserve">to US$4.88M for 2024). Architecture decisions were needed to enable</w:t>
      </w:r>
      <w:r>
        <w:t xml:space="preserve"> </w:t>
      </w:r>
      <w:r>
        <w:t xml:space="preserve">future stat updates without cascading code changes.</w:t>
      </w:r>
    </w:p>
    <w:p>
      <w:pPr>
        <w:pStyle w:val="BodyText"/>
      </w:pPr>
      <w:r>
        <w:rPr>
          <w:b/>
          <w:bCs/>
        </w:rPr>
        <w:t xml:space="preserve">Challenge 3, MCQ difficulty calibration</w:t>
      </w:r>
      <w:r>
        <w:t xml:space="preserve">: Early MCQ drafts either</w:t>
      </w:r>
      <w:r>
        <w:t xml:space="preserve"> </w:t>
      </w:r>
      <w:r>
        <w:t xml:space="preserve">defaulted to vocabulary recall at the Basic level (testing whether</w:t>
      </w:r>
      <w:r>
        <w:t xml:space="preserve"> </w:t>
      </w:r>
      <w:r>
        <w:t xml:space="preserve">learners could define SIEM) rather than applied understanding, or</w:t>
      </w:r>
      <w:r>
        <w:t xml:space="preserve"> </w:t>
      </w:r>
      <w:r>
        <w:t xml:space="preserve">overcorrected into scenarios too abstract for the Intermediate tier.</w:t>
      </w:r>
    </w:p>
    <w:bookmarkEnd w:id="28"/>
    <w:bookmarkStart w:id="29" w:name="solutions-implemented"/>
    <w:p>
      <w:pPr>
        <w:pStyle w:val="Heading3"/>
      </w:pPr>
      <w:r>
        <w:t xml:space="preserve">5.3 Solutions Implemented</w:t>
      </w:r>
    </w:p>
    <w:p>
      <w:pPr>
        <w:pStyle w:val="FirstParagraph"/>
      </w:pPr>
      <w:r>
        <w:t xml:space="preserve">For jargon calibration, a systematic jargon audit was conducted across</w:t>
      </w:r>
      <w:r>
        <w:t xml:space="preserve"> </w:t>
      </w:r>
      <w:r>
        <w:t xml:space="preserve">all five modules, identifying 23 high-risk terms. Each was either (a)</w:t>
      </w:r>
      <w:r>
        <w:t xml:space="preserve"> </w:t>
      </w:r>
      <w:r>
        <w:t xml:space="preserve">replaced with a plain-language equivalent and analogy (e.g., “lateral</w:t>
      </w:r>
      <w:r>
        <w:t xml:space="preserve"> </w:t>
      </w:r>
      <w:r>
        <w:t xml:space="preserve">movement is like a burglar who breaks one lock and then tries every door</w:t>
      </w:r>
      <w:r>
        <w:t xml:space="preserve"> </w:t>
      </w:r>
      <w:r>
        <w:t xml:space="preserve">in the building”), or (b) retained as a technical term but immediately</w:t>
      </w:r>
      <w:r>
        <w:t xml:space="preserve"> </w:t>
      </w:r>
      <w:r>
        <w:t xml:space="preserve">followed by a parenthetical explanation on first appearance, and added</w:t>
      </w:r>
      <w:r>
        <w:t xml:space="preserve"> </w:t>
      </w:r>
      <w:r>
        <w:t xml:space="preserve">to the searchable Glossary page.</w:t>
      </w:r>
    </w:p>
    <w:p>
      <w:pPr>
        <w:pStyle w:val="BodyText"/>
      </w:pPr>
      <w:r>
        <w:t xml:space="preserve">For content maintainability, all module content was centralised in a</w:t>
      </w:r>
      <w:r>
        <w:t xml:space="preserve"> </w:t>
      </w:r>
      <w:r>
        <w:t xml:space="preserve">single</w:t>
      </w:r>
      <w:r>
        <w:t xml:space="preserve"> </w:t>
      </w:r>
      <w:r>
        <w:rPr>
          <w:rStyle w:val="VerbatimChar"/>
        </w:rPr>
        <w:t xml:space="preserve">modules.ts</w:t>
      </w:r>
      <w:r>
        <w:t xml:space="preserve"> </w:t>
      </w:r>
      <w:r>
        <w:t xml:space="preserve">TypeScript file and all MCQ content in</w:t>
      </w:r>
      <w:r>
        <w:t xml:space="preserve"> </w:t>
      </w:r>
      <w:r>
        <w:rPr>
          <w:rStyle w:val="VerbatimChar"/>
        </w:rPr>
        <w:t xml:space="preserve">quizData.ts</w:t>
      </w:r>
      <w:r>
        <w:t xml:space="preserve">. Updating a statistic in one location propagates across</w:t>
      </w:r>
      <w:r>
        <w:t xml:space="preserve"> </w:t>
      </w:r>
      <w:r>
        <w:t xml:space="preserve">all slides, MCQ explanations, and key takeaways without touching any</w:t>
      </w:r>
      <w:r>
        <w:t xml:space="preserve"> </w:t>
      </w:r>
      <w:r>
        <w:t xml:space="preserve">React component.</w:t>
      </w:r>
    </w:p>
    <w:p>
      <w:pPr>
        <w:pStyle w:val="BodyText"/>
      </w:pPr>
      <w:r>
        <w:t xml:space="preserve">For MCQ calibration, a two-reviewer Bloom’s Taxonomy rating process was</w:t>
      </w:r>
      <w:r>
        <w:t xml:space="preserve"> </w:t>
      </w:r>
      <w:r>
        <w:t xml:space="preserve">applied to each of the 50 questions, with a defined rubric</w:t>
      </w:r>
      <w:r>
        <w:t xml:space="preserve"> </w:t>
      </w:r>
      <w:r>
        <w:t xml:space="preserve">distinguishing recall (rejected for Basic tier), scenario-application</w:t>
      </w:r>
      <w:r>
        <w:t xml:space="preserve"> </w:t>
      </w:r>
      <w:r>
        <w:t xml:space="preserve">(target for Intermediate), and synthesis-across-frameworks (target for</w:t>
      </w:r>
      <w:r>
        <w:t xml:space="preserve"> </w:t>
      </w:r>
      <w:r>
        <w:t xml:space="preserve">Advanced).</w:t>
      </w:r>
    </w:p>
    <w:bookmarkEnd w:id="29"/>
    <w:bookmarkStart w:id="30" w:name="content-validation-approach"/>
    <w:p>
      <w:pPr>
        <w:pStyle w:val="Heading3"/>
      </w:pPr>
      <w:r>
        <w:t xml:space="preserve">5.4 Content Validation Approach</w:t>
      </w:r>
    </w:p>
    <w:p>
      <w:pPr>
        <w:pStyle w:val="FirstParagraph"/>
      </w:pPr>
      <w:r>
        <w:t xml:space="preserve">Content accuracy was validated via a factual verification pass in which</w:t>
      </w:r>
      <w:r>
        <w:t xml:space="preserve"> </w:t>
      </w:r>
      <w:r>
        <w:t xml:space="preserve">each quantitative statistic was traced to its primary source document</w:t>
      </w:r>
      <w:r>
        <w:t xml:space="preserve"> </w:t>
      </w:r>
      <w:r>
        <w:t xml:space="preserve">and page reference. Regulatory content was reviewed against the current</w:t>
      </w:r>
      <w:r>
        <w:t xml:space="preserve"> </w:t>
      </w:r>
      <w:r>
        <w:t xml:space="preserve">statutory text (not commentary) to ensure no inadvertent misstatement of</w:t>
      </w:r>
      <w:r>
        <w:t xml:space="preserve"> </w:t>
      </w:r>
      <w:r>
        <w:t xml:space="preserve">legal obligations. All five case study slides were constrained to facts</w:t>
      </w:r>
      <w:r>
        <w:t xml:space="preserve"> </w:t>
      </w:r>
      <w:r>
        <w:t xml:space="preserve">verified from primary sources, with any unverified detail explicitly</w:t>
      </w:r>
      <w:r>
        <w:t xml:space="preserve"> </w:t>
      </w:r>
      <w:r>
        <w:t xml:space="preserve">excluded.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5" w:name="genai-integration"/>
    <w:p>
      <w:pPr>
        <w:pStyle w:val="Heading2"/>
      </w:pPr>
      <w:r>
        <w:t xml:space="preserve">6. GenAI Integration</w:t>
      </w:r>
    </w:p>
    <w:bookmarkStart w:id="32" w:name="genai-platforms-utilised"/>
    <w:p>
      <w:pPr>
        <w:pStyle w:val="Heading3"/>
      </w:pPr>
      <w:r>
        <w:t xml:space="preserve">6.1 GenAI Platforms Utilised</w:t>
      </w:r>
    </w:p>
    <w:p>
      <w:pPr>
        <w:pStyle w:val="FirstParagraph"/>
      </w:pPr>
      <w:r>
        <w:t xml:space="preserve">Four generative AI platforms were engaged across distinct development</w:t>
      </w:r>
      <w:r>
        <w:t xml:space="preserve"> </w:t>
      </w:r>
      <w:r>
        <w:t xml:space="preserve">phases: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Platform</w:t>
            </w:r>
          </w:p>
        </w:tc>
        <w:tc>
          <w:tcPr/>
          <w:p>
            <w:pPr>
              <w:pStyle w:val="Compact"/>
            </w:pPr>
            <w:r>
              <w:t xml:space="preserve">Primary Application</w:t>
            </w:r>
          </w:p>
        </w:tc>
        <w:tc>
          <w:tcPr/>
          <w:p>
            <w:pPr>
              <w:pStyle w:val="Compact"/>
            </w:pPr>
            <w:r>
              <w:t xml:space="preserve">Selection Rationale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Claude 3.5 Sonnet</w:t>
            </w:r>
            <w:r>
              <w:t xml:space="preserve"> </w:t>
            </w:r>
            <w:r>
              <w:t xml:space="preserve">(Anthropic)</w:t>
            </w:r>
          </w:p>
        </w:tc>
        <w:tc>
          <w:tcPr/>
          <w:p>
            <w:pPr>
              <w:pStyle w:val="Compact"/>
            </w:pPr>
            <w:r>
              <w:t xml:space="preserve">Module narrative drafting, MCQ explanation writing, tone calibration</w:t>
            </w:r>
          </w:p>
        </w:tc>
        <w:tc>
          <w:tcPr/>
          <w:p>
            <w:pPr>
              <w:pStyle w:val="Compact"/>
            </w:pPr>
            <w:r>
              <w:t xml:space="preserve">Superior long-form reasoning and constraint-following for professional consultancy-register prose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ChatGPT-4o</w:t>
            </w:r>
            <w:r>
              <w:t xml:space="preserve"> </w:t>
            </w:r>
            <w:r>
              <w:t xml:space="preserve">(OpenAI)</w:t>
            </w:r>
          </w:p>
        </w:tc>
        <w:tc>
          <w:tcPr/>
          <w:p>
            <w:pPr>
              <w:pStyle w:val="Compact"/>
            </w:pPr>
            <w:r>
              <w:t xml:space="preserve">MCQ bank seeding, scenario diversification, jargon-accessibility rewrites</w:t>
            </w:r>
          </w:p>
        </w:tc>
        <w:tc>
          <w:tcPr/>
          <w:p>
            <w:pPr>
              <w:pStyle w:val="Compact"/>
            </w:pPr>
            <w:r>
              <w:t xml:space="preserve">Strong performance on structured output tasks; consistent four-option MCQ format adherence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Gemini 1.5 Pro</w:t>
            </w:r>
            <w:r>
              <w:t xml:space="preserve"> </w:t>
            </w:r>
            <w:r>
              <w:t xml:space="preserve">(Google DeepMind)</w:t>
            </w:r>
          </w:p>
        </w:tc>
        <w:tc>
          <w:tcPr/>
          <w:p>
            <w:pPr>
              <w:pStyle w:val="Compact"/>
            </w:pPr>
            <w:r>
              <w:t xml:space="preserve">Cross-module consistency checking, duplicate concept identification</w:t>
            </w:r>
          </w:p>
        </w:tc>
        <w:tc>
          <w:tcPr/>
          <w:p>
            <w:pPr>
              <w:pStyle w:val="Compact"/>
            </w:pPr>
            <w:r>
              <w:t xml:space="preserve">Large (1 million token) context window enables simultaneous review of all five modules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GitHub Copilot</w:t>
            </w:r>
            <w:r>
              <w:t xml:space="preserve"> </w:t>
            </w:r>
            <w:r>
              <w:t xml:space="preserve">(Microsoft/OpenAI)</w:t>
            </w:r>
          </w:p>
        </w:tc>
        <w:tc>
          <w:tcPr/>
          <w:p>
            <w:pPr>
              <w:pStyle w:val="Compact"/>
            </w:pPr>
            <w:r>
              <w:t xml:space="preserve">React/TypeScript component scaffolding, Tailwind class generation, Express.js route logic</w:t>
            </w:r>
          </w:p>
        </w:tc>
        <w:tc>
          <w:tcPr/>
          <w:p>
            <w:pPr>
              <w:pStyle w:val="Compact"/>
            </w:pPr>
            <w:r>
              <w:t xml:space="preserve">In-editor completion reduces boilerplate time; estimated 40% acceleration on repetitive component patterns</w:t>
            </w:r>
          </w:p>
        </w:tc>
      </w:tr>
    </w:tbl>
    <w:bookmarkEnd w:id="32"/>
    <w:bookmarkStart w:id="33" w:name="specific-use-cases-and-prompts-used"/>
    <w:p>
      <w:pPr>
        <w:pStyle w:val="Heading3"/>
      </w:pPr>
      <w:r>
        <w:t xml:space="preserve">6.2 Specific Use Cases and Prompts Used</w:t>
      </w:r>
    </w:p>
    <w:p>
      <w:pPr>
        <w:pStyle w:val="FirstParagraph"/>
      </w:pPr>
      <w:r>
        <w:rPr>
          <w:b/>
          <w:bCs/>
        </w:rPr>
        <w:t xml:space="preserve">Use Case 1, MCQ Bank Seeding</w:t>
      </w:r>
    </w:p>
    <w:p>
      <w:pPr>
        <w:pStyle w:val="BodyText"/>
      </w:pPr>
      <w:r>
        <w:t xml:space="preserve">The following prompt was submitted to ChatGPT-4o to initiate the</w:t>
      </w:r>
      <w:r>
        <w:t xml:space="preserve"> </w:t>
      </w:r>
      <w:r>
        <w:t xml:space="preserve">50-question bank:</w:t>
      </w:r>
    </w:p>
    <w:p>
      <w:pPr>
        <w:pStyle w:val="BlockText"/>
      </w:pPr>
      <w:r>
        <w:rPr>
          <w:i/>
          <w:iCs/>
        </w:rPr>
        <w:t xml:space="preserve">“You are writing MCQs for a cybersecurity literacy training platform</w:t>
      </w:r>
      <w:r>
        <w:rPr>
          <w:i/>
          <w:iCs/>
        </w:rPr>
        <w:t xml:space="preserve"> </w:t>
      </w:r>
      <w:r>
        <w:rPr>
          <w:i/>
          <w:iCs/>
        </w:rPr>
        <w:t xml:space="preserve">aimed at non-technical managers and staff at digital wallet operators</w:t>
      </w:r>
      <w:r>
        <w:rPr>
          <w:i/>
          <w:iCs/>
        </w:rPr>
        <w:t xml:space="preserve"> </w:t>
      </w:r>
      <w:r>
        <w:rPr>
          <w:i/>
          <w:iCs/>
        </w:rPr>
        <w:t xml:space="preserve">in Hong Kong. Each question must: (1) be set at one of three</w:t>
      </w:r>
      <w:r>
        <w:rPr>
          <w:i/>
          <w:iCs/>
        </w:rPr>
        <w:t xml:space="preserve"> </w:t>
      </w:r>
      <w:r>
        <w:rPr>
          <w:i/>
          <w:iCs/>
        </w:rPr>
        <w:t xml:space="preserve">difficulty levels: Basic, Intermediate, or Advanced; (2) have exactly</w:t>
      </w:r>
      <w:r>
        <w:rPr>
          <w:i/>
          <w:iCs/>
        </w:rPr>
        <w:t xml:space="preserve"> </w:t>
      </w:r>
      <w:r>
        <w:rPr>
          <w:i/>
          <w:iCs/>
        </w:rPr>
        <w:t xml:space="preserve">four answer options where only one is unambiguously correct; (3)</w:t>
      </w:r>
      <w:r>
        <w:rPr>
          <w:i/>
          <w:iCs/>
        </w:rPr>
        <w:t xml:space="preserve"> </w:t>
      </w:r>
      <w:r>
        <w:rPr>
          <w:i/>
          <w:iCs/>
        </w:rPr>
        <w:t xml:space="preserve">include a 150-200 word explanation for the correct answer that names</w:t>
      </w:r>
      <w:r>
        <w:rPr>
          <w:i/>
          <w:iCs/>
        </w:rPr>
        <w:t xml:space="preserve"> </w:t>
      </w:r>
      <w:r>
        <w:rPr>
          <w:i/>
          <w:iCs/>
        </w:rPr>
        <w:t xml:space="preserve">the correct principle, explains why the wrong options fail, and</w:t>
      </w:r>
      <w:r>
        <w:rPr>
          <w:i/>
          <w:iCs/>
        </w:rPr>
        <w:t xml:space="preserve"> </w:t>
      </w:r>
      <w:r>
        <w:rPr>
          <w:i/>
          <w:iCs/>
        </w:rPr>
        <w:t xml:space="preserve">references a specific module and slide; (4) avoid testing vocabulary</w:t>
      </w:r>
      <w:r>
        <w:rPr>
          <w:i/>
          <w:iCs/>
        </w:rPr>
        <w:t xml:space="preserve"> </w:t>
      </w:r>
      <w:r>
        <w:rPr>
          <w:i/>
          <w:iCs/>
        </w:rPr>
        <w:t xml:space="preserve">memorisation, test applied understanding in workplace scenarios.</w:t>
      </w:r>
      <w:r>
        <w:rPr>
          <w:i/>
          <w:iCs/>
        </w:rPr>
        <w:t xml:space="preserve"> </w:t>
      </w:r>
      <w:r>
        <w:rPr>
          <w:i/>
          <w:iCs/>
        </w:rPr>
        <w:t xml:space="preserve">Write 10 Intermediate-level questions covering Module 2 topics:</w:t>
      </w:r>
      <w:r>
        <w:rPr>
          <w:i/>
          <w:iCs/>
        </w:rPr>
        <w:t xml:space="preserve"> </w:t>
      </w:r>
      <w:r>
        <w:rPr>
          <w:i/>
          <w:iCs/>
        </w:rPr>
        <w:t xml:space="preserve">phishing, business email compromise, insider threats, ransomware, and</w:t>
      </w:r>
      <w:r>
        <w:rPr>
          <w:i/>
          <w:iCs/>
        </w:rPr>
        <w:t xml:space="preserve"> </w:t>
      </w:r>
      <w:r>
        <w:rPr>
          <w:i/>
          <w:iCs/>
        </w:rPr>
        <w:t xml:space="preserve">API vulnerabilities.”</w:t>
      </w:r>
    </w:p>
    <w:p>
      <w:pPr>
        <w:pStyle w:val="FirstParagraph"/>
      </w:pPr>
      <w:r>
        <w:t xml:space="preserve">Generated output underwent Gate 1 factual verification before use.</w:t>
      </w:r>
      <w:r>
        <w:t xml:space="preserve"> </w:t>
      </w:r>
      <w:r>
        <w:t xml:space="preserve">Approximately 3 of the 10 items required scenario rewrites to move from</w:t>
      </w:r>
      <w:r>
        <w:t xml:space="preserve"> </w:t>
      </w:r>
      <w:r>
        <w:t xml:space="preserve">definitional recall to applied analysis.</w:t>
      </w:r>
    </w:p>
    <w:p>
      <w:pPr>
        <w:pStyle w:val="BodyText"/>
      </w:pPr>
      <w:r>
        <w:rPr>
          <w:b/>
          <w:bCs/>
        </w:rPr>
        <w:t xml:space="preserve">Use Case 2, Jargon Removal and Accessibility Rewrite</w:t>
      </w:r>
    </w:p>
    <w:p>
      <w:pPr>
        <w:pStyle w:val="BlockText"/>
      </w:pPr>
      <w:r>
        <w:rPr>
          <w:i/>
          <w:iCs/>
        </w:rPr>
        <w:t xml:space="preserve">“The following paragraph is from a cybersecurity training module for</w:t>
      </w:r>
      <w:r>
        <w:rPr>
          <w:i/>
          <w:iCs/>
        </w:rPr>
        <w:t xml:space="preserve"> </w:t>
      </w:r>
      <w:r>
        <w:rPr>
          <w:i/>
          <w:iCs/>
        </w:rPr>
        <w:t xml:space="preserve">non-technical managers. Rewrite it so that a Business Development</w:t>
      </w:r>
      <w:r>
        <w:rPr>
          <w:i/>
          <w:iCs/>
        </w:rPr>
        <w:t xml:space="preserve"> </w:t>
      </w:r>
      <w:r>
        <w:rPr>
          <w:i/>
          <w:iCs/>
        </w:rPr>
        <w:t xml:space="preserve">Manager with no IT background can fully understand it without a</w:t>
      </w:r>
      <w:r>
        <w:rPr>
          <w:i/>
          <w:iCs/>
        </w:rPr>
        <w:t xml:space="preserve"> </w:t>
      </w:r>
      <w:r>
        <w:rPr>
          <w:i/>
          <w:iCs/>
        </w:rPr>
        <w:t xml:space="preserve">glossary. Replace all jargon with plain language equivalents or</w:t>
      </w:r>
      <w:r>
        <w:rPr>
          <w:i/>
          <w:iCs/>
        </w:rPr>
        <w:t xml:space="preserve"> </w:t>
      </w:r>
      <w:r>
        <w:rPr>
          <w:i/>
          <w:iCs/>
        </w:rPr>
        <w:t xml:space="preserve">analogies. Do not reduce the technical accuracy, keep all specific</w:t>
      </w:r>
      <w:r>
        <w:rPr>
          <w:i/>
          <w:iCs/>
        </w:rPr>
        <w:t xml:space="preserve"> </w:t>
      </w:r>
      <w:r>
        <w:rPr>
          <w:i/>
          <w:iCs/>
        </w:rPr>
        <w:t xml:space="preserve">numbers, standards names, and regulatory references intact. Only</w:t>
      </w:r>
      <w:r>
        <w:rPr>
          <w:i/>
          <w:iCs/>
        </w:rPr>
        <w:t xml:space="preserve"> </w:t>
      </w:r>
      <w:r>
        <w:rPr>
          <w:i/>
          <w:iCs/>
        </w:rPr>
        <w:t xml:space="preserve">change vocabulary where it creates a comprehension barrier. Original:</w:t>
      </w:r>
      <w:r>
        <w:rPr>
          <w:i/>
          <w:iCs/>
        </w:rPr>
        <w:t xml:space="preserve"> </w:t>
      </w:r>
      <w:r>
        <w:rPr>
          <w:i/>
          <w:iCs/>
        </w:rPr>
        <w:t xml:space="preserve">‘Threat actors frequently leverage SSRF vulnerabilities in</w:t>
      </w:r>
      <w:r>
        <w:rPr>
          <w:i/>
          <w:iCs/>
        </w:rPr>
        <w:t xml:space="preserve"> </w:t>
      </w:r>
      <w:r>
        <w:rPr>
          <w:i/>
          <w:iCs/>
        </w:rPr>
        <w:t xml:space="preserve">internet-exposed microservices to laterally exfiltrate tokenised</w:t>
      </w:r>
      <w:r>
        <w:rPr>
          <w:i/>
          <w:iCs/>
        </w:rPr>
        <w:t xml:space="preserve"> </w:t>
      </w:r>
      <w:r>
        <w:rPr>
          <w:i/>
          <w:iCs/>
        </w:rPr>
        <w:t xml:space="preserve">credential sets stored in cloud metadata endpoints, bypassing</w:t>
      </w:r>
      <w:r>
        <w:rPr>
          <w:i/>
          <w:iCs/>
        </w:rPr>
        <w:t xml:space="preserve"> </w:t>
      </w:r>
      <w:r>
        <w:rPr>
          <w:i/>
          <w:iCs/>
        </w:rPr>
        <w:t xml:space="preserve">perimeter controls via the trusted execution context of the</w:t>
      </w:r>
      <w:r>
        <w:rPr>
          <w:i/>
          <w:iCs/>
        </w:rPr>
        <w:t xml:space="preserve"> </w:t>
      </w:r>
      <w:r>
        <w:rPr>
          <w:i/>
          <w:iCs/>
        </w:rPr>
        <w:t xml:space="preserve">originating service.’”</w:t>
      </w:r>
    </w:p>
    <w:p>
      <w:pPr>
        <w:pStyle w:val="FirstParagraph"/>
      </w:pPr>
      <w:r>
        <w:t xml:space="preserve">Result:</w:t>
      </w:r>
      <w:r>
        <w:t xml:space="preserve"> </w:t>
      </w:r>
      <w:r>
        <w:rPr>
          <w:i/>
          <w:iCs/>
        </w:rPr>
        <w:t xml:space="preserve">“Attackers can trick a cloud-based component of your system</w:t>
      </w:r>
      <w:r>
        <w:rPr>
          <w:i/>
          <w:iCs/>
        </w:rPr>
        <w:t xml:space="preserve"> </w:t>
      </w:r>
      <w:r>
        <w:rPr>
          <w:i/>
          <w:iCs/>
        </w:rPr>
        <w:t xml:space="preserve">into fetching its own security keys and handing them over, effectively</w:t>
      </w:r>
      <w:r>
        <w:rPr>
          <w:i/>
          <w:iCs/>
        </w:rPr>
        <w:t xml:space="preserve"> </w:t>
      </w:r>
      <w:r>
        <w:rPr>
          <w:i/>
          <w:iCs/>
        </w:rPr>
        <w:t xml:space="preserve">using your system against itself, bypassing your firewall because the</w:t>
      </w:r>
      <w:r>
        <w:rPr>
          <w:i/>
          <w:iCs/>
        </w:rPr>
        <w:t xml:space="preserve"> </w:t>
      </w:r>
      <w:r>
        <w:rPr>
          <w:i/>
          <w:iCs/>
        </w:rPr>
        <w:t xml:space="preserve">request appears to come from inside your own infrastructure.”</w:t>
      </w:r>
      <w:r>
        <w:t xml:space="preserve"> </w:t>
      </w:r>
      <w:r>
        <w:t xml:space="preserve">This</w:t>
      </w:r>
      <w:r>
        <w:t xml:space="preserve"> </w:t>
      </w:r>
      <w:r>
        <w:t xml:space="preserve">template was applied to 23 high-density jargon passages.</w:t>
      </w:r>
    </w:p>
    <w:p>
      <w:pPr>
        <w:pStyle w:val="BodyText"/>
      </w:pPr>
      <w:r>
        <w:rPr>
          <w:b/>
          <w:bCs/>
        </w:rPr>
        <w:t xml:space="preserve">Use Case 3, Advanced Scenario MCQ Development (ChatGPT-4o)</w:t>
      </w:r>
    </w:p>
    <w:p>
      <w:pPr>
        <w:pStyle w:val="BlockText"/>
      </w:pPr>
      <w:r>
        <w:rPr>
          <w:i/>
          <w:iCs/>
        </w:rPr>
        <w:t xml:space="preserve">“Write one Advanced-level MCQ for a digital wallet cybersecurity</w:t>
      </w:r>
      <w:r>
        <w:rPr>
          <w:i/>
          <w:iCs/>
        </w:rPr>
        <w:t xml:space="preserve"> </w:t>
      </w:r>
      <w:r>
        <w:rPr>
          <w:i/>
          <w:iCs/>
        </w:rPr>
        <w:t xml:space="preserve">training platform. The scenario: a multi-stage attack begins with a</w:t>
      </w:r>
      <w:r>
        <w:rPr>
          <w:i/>
          <w:iCs/>
        </w:rPr>
        <w:t xml:space="preserve"> </w:t>
      </w:r>
      <w:r>
        <w:rPr>
          <w:i/>
          <w:iCs/>
        </w:rPr>
        <w:t xml:space="preserve">LinkedIn spear-phishing message targeting a developer, progresses</w:t>
      </w:r>
      <w:r>
        <w:rPr>
          <w:i/>
          <w:iCs/>
        </w:rPr>
        <w:t xml:space="preserve"> </w:t>
      </w:r>
      <w:r>
        <w:rPr>
          <w:i/>
          <w:iCs/>
        </w:rPr>
        <w:t xml:space="preserve">through malware installation, credential harvesting from hardcoded</w:t>
      </w:r>
      <w:r>
        <w:rPr>
          <w:i/>
          <w:iCs/>
        </w:rPr>
        <w:t xml:space="preserve"> </w:t>
      </w:r>
      <w:r>
        <w:rPr>
          <w:i/>
          <w:iCs/>
        </w:rPr>
        <w:t xml:space="preserve">source code, and culminates in production database exfiltration. The</w:t>
      </w:r>
      <w:r>
        <w:rPr>
          <w:i/>
          <w:iCs/>
        </w:rPr>
        <w:t xml:space="preserve"> </w:t>
      </w:r>
      <w:r>
        <w:rPr>
          <w:i/>
          <w:iCs/>
        </w:rPr>
        <w:t xml:space="preserve">question should ask: ‘Where are the most important defensive gaps?’</w:t>
      </w:r>
      <w:r>
        <w:rPr>
          <w:i/>
          <w:iCs/>
        </w:rPr>
        <w:t xml:space="preserve"> </w:t>
      </w:r>
      <w:r>
        <w:rPr>
          <w:i/>
          <w:iCs/>
        </w:rPr>
        <w:t xml:space="preserve">The four options should reflect common management misconceptions</w:t>
      </w:r>
      <w:r>
        <w:rPr>
          <w:i/>
          <w:iCs/>
        </w:rPr>
        <w:t xml:space="preserve"> </w:t>
      </w:r>
      <w:r>
        <w:rPr>
          <w:i/>
          <w:iCs/>
        </w:rPr>
        <w:t xml:space="preserve">against the correct answer that maps each attack stage to a specific</w:t>
      </w:r>
      <w:r>
        <w:rPr>
          <w:i/>
          <w:iCs/>
        </w:rPr>
        <w:t xml:space="preserve"> </w:t>
      </w:r>
      <w:r>
        <w:rPr>
          <w:i/>
          <w:iCs/>
        </w:rPr>
        <w:t xml:space="preserve">independent control failure. Explanation: 150-200 words, references</w:t>
      </w:r>
      <w:r>
        <w:rPr>
          <w:i/>
          <w:iCs/>
        </w:rPr>
        <w:t xml:space="preserve"> </w:t>
      </w:r>
      <w:r>
        <w:rPr>
          <w:i/>
          <w:iCs/>
        </w:rPr>
        <w:t xml:space="preserve">Module 2 Slide 6.”</w:t>
      </w:r>
    </w:p>
    <w:p>
      <w:pPr>
        <w:pStyle w:val="FirstParagraph"/>
      </w:pPr>
      <w:r>
        <w:t xml:space="preserve">This produced Question 25 (Advanced), rated the most realistic scenario</w:t>
      </w:r>
      <w:r>
        <w:t xml:space="preserve"> </w:t>
      </w:r>
      <w:r>
        <w:t xml:space="preserve">in the bank by the technical tester.</w:t>
      </w:r>
    </w:p>
    <w:p>
      <w:pPr>
        <w:pStyle w:val="BodyText"/>
      </w:pPr>
      <w:r>
        <w:rPr>
          <w:b/>
          <w:bCs/>
        </w:rPr>
        <w:t xml:space="preserve">Use Case 4, Module Introduction Tone (Claude 3.5 Sonnet)</w:t>
      </w:r>
    </w:p>
    <w:p>
      <w:pPr>
        <w:pStyle w:val="BlockText"/>
      </w:pPr>
      <w:r>
        <w:rPr>
          <w:i/>
          <w:iCs/>
        </w:rPr>
        <w:t xml:space="preserve">“Write the introduction slide for Module 3 of a cybersecurity</w:t>
      </w:r>
      <w:r>
        <w:rPr>
          <w:i/>
          <w:iCs/>
        </w:rPr>
        <w:t xml:space="preserve"> </w:t>
      </w:r>
      <w:r>
        <w:rPr>
          <w:i/>
          <w:iCs/>
        </w:rPr>
        <w:t xml:space="preserve">training platform for senior FinTech managers. Tone: Deloitte</w:t>
      </w:r>
      <w:r>
        <w:rPr>
          <w:i/>
          <w:iCs/>
        </w:rPr>
        <w:t xml:space="preserve"> </w:t>
      </w:r>
      <w:r>
        <w:rPr>
          <w:i/>
          <w:iCs/>
        </w:rPr>
        <w:t xml:space="preserve">management consulting, authoritative, evidence-led, direct, never</w:t>
      </w:r>
      <w:r>
        <w:rPr>
          <w:i/>
          <w:iCs/>
        </w:rPr>
        <w:t xml:space="preserve"> </w:t>
      </w:r>
      <w:r>
        <w:rPr>
          <w:i/>
          <w:iCs/>
        </w:rPr>
        <w:t xml:space="preserve">sensationalist. Accomplish three things: (1) establish financial scale</w:t>
      </w:r>
      <w:r>
        <w:rPr>
          <w:i/>
          <w:iCs/>
        </w:rPr>
        <w:t xml:space="preserve"> </w:t>
      </w:r>
      <w:r>
        <w:rPr>
          <w:i/>
          <w:iCs/>
        </w:rPr>
        <w:t xml:space="preserve">using IBM 2024 data; (2) frame cybersecurity investment as financial</w:t>
      </w:r>
      <w:r>
        <w:rPr>
          <w:i/>
          <w:iCs/>
        </w:rPr>
        <w:t xml:space="preserve"> </w:t>
      </w:r>
      <w:r>
        <w:rPr>
          <w:i/>
          <w:iCs/>
        </w:rPr>
        <w:t xml:space="preserve">risk management; (3) use one analogy a VP of Operations would find</w:t>
      </w:r>
      <w:r>
        <w:rPr>
          <w:i/>
          <w:iCs/>
        </w:rPr>
        <w:t xml:space="preserve"> </w:t>
      </w:r>
      <w:r>
        <w:rPr>
          <w:i/>
          <w:iCs/>
        </w:rPr>
        <w:t xml:space="preserve">compelling. Maximum 200 words.”</w:t>
      </w:r>
    </w:p>
    <w:p>
      <w:pPr>
        <w:pStyle w:val="FirstParagraph"/>
      </w:pPr>
      <w:r>
        <w:rPr>
          <w:b/>
          <w:bCs/>
        </w:rPr>
        <w:t xml:space="preserve">Use Case 5, Factual Constraint for Case Studies (Claude 3.5 Sonnet)</w:t>
      </w:r>
    </w:p>
    <w:p>
      <w:pPr>
        <w:pStyle w:val="BlockText"/>
      </w:pPr>
      <w:r>
        <w:rPr>
          <w:i/>
          <w:iCs/>
        </w:rPr>
        <w:t xml:space="preserve">“Write the Equifax 2017 case study slide using ONLY these verified</w:t>
      </w:r>
      <w:r>
        <w:rPr>
          <w:i/>
          <w:iCs/>
        </w:rPr>
        <w:t xml:space="preserve"> </w:t>
      </w:r>
      <w:r>
        <w:rPr>
          <w:i/>
          <w:iCs/>
        </w:rPr>
        <w:t xml:space="preserve">facts: CVE-2017-5638, US-CERT warning, 78-day unpatched window, 147M</w:t>
      </w:r>
      <w:r>
        <w:rPr>
          <w:i/>
          <w:iCs/>
        </w:rPr>
        <w:t xml:space="preserve"> </w:t>
      </w:r>
      <w:r>
        <w:rPr>
          <w:i/>
          <w:iCs/>
        </w:rPr>
        <w:t xml:space="preserve">records, 51 databases, US$702M settlement, ~35% share price drop. Do</w:t>
      </w:r>
      <w:r>
        <w:rPr>
          <w:i/>
          <w:iCs/>
        </w:rPr>
        <w:t xml:space="preserve"> </w:t>
      </w:r>
      <w:r>
        <w:rPr>
          <w:i/>
          <w:iCs/>
        </w:rPr>
        <w:t xml:space="preserve">not add any facts not in this list, flag uncertainty rather than</w:t>
      </w:r>
      <w:r>
        <w:rPr>
          <w:i/>
          <w:iCs/>
        </w:rPr>
        <w:t xml:space="preserve"> </w:t>
      </w:r>
      <w:r>
        <w:rPr>
          <w:i/>
          <w:iCs/>
        </w:rPr>
        <w:t xml:space="preserve">infer. Format as: Root Cause box, Key Failures list, Lessons box.”</w:t>
      </w:r>
    </w:p>
    <w:p>
      <w:pPr>
        <w:pStyle w:val="FirstParagraph"/>
      </w:pPr>
      <w:r>
        <w:t xml:space="preserve">This constraint approach was applied to all five case studies,</w:t>
      </w:r>
      <w:r>
        <w:t xml:space="preserve"> </w:t>
      </w:r>
      <w:r>
        <w:t xml:space="preserve">substantially reducing hallucination risk in high-stakes factual</w:t>
      </w:r>
      <w:r>
        <w:t xml:space="preserve"> </w:t>
      </w:r>
      <w:r>
        <w:t xml:space="preserve">content.</w:t>
      </w:r>
    </w:p>
    <w:p>
      <w:pPr>
        <w:pStyle w:val="BodyText"/>
      </w:pPr>
      <w:r>
        <w:rPr>
          <w:b/>
          <w:bCs/>
        </w:rPr>
        <w:t xml:space="preserve">Use Case 6, Batch Explanation Quality Control (Claude 3.5 Sonnet)</w:t>
      </w:r>
    </w:p>
    <w:p>
      <w:pPr>
        <w:pStyle w:val="BlockText"/>
      </w:pPr>
      <w:r>
        <w:rPr>
          <w:i/>
          <w:iCs/>
        </w:rPr>
        <w:t xml:space="preserve">“Review 5 MCQ explanations. For each: (a) confirm the cited statistic</w:t>
      </w:r>
      <w:r>
        <w:rPr>
          <w:i/>
          <w:iCs/>
        </w:rPr>
        <w:t xml:space="preserve"> </w:t>
      </w:r>
      <w:r>
        <w:rPr>
          <w:i/>
          <w:iCs/>
        </w:rPr>
        <w:t xml:space="preserve">appears in the specified source; (b) flag any statement that could</w:t>
      </w:r>
      <w:r>
        <w:rPr>
          <w:i/>
          <w:iCs/>
        </w:rPr>
        <w:t xml:space="preserve"> </w:t>
      </w:r>
      <w:r>
        <w:rPr>
          <w:i/>
          <w:iCs/>
        </w:rPr>
        <w:t xml:space="preserve">suggest a dangerous shortcut; (c) confirm 150-word minimum without</w:t>
      </w:r>
      <w:r>
        <w:rPr>
          <w:i/>
          <w:iCs/>
        </w:rPr>
        <w:t xml:space="preserve"> </w:t>
      </w:r>
      <w:r>
        <w:rPr>
          <w:i/>
          <w:iCs/>
        </w:rPr>
        <w:t xml:space="preserve">padding; (d) rate accessibility 1-5 for a non-technical manager.</w:t>
      </w:r>
      <w:r>
        <w:rPr>
          <w:i/>
          <w:iCs/>
        </w:rPr>
        <w:t xml:space="preserve"> </w:t>
      </w:r>
      <w:r>
        <w:rPr>
          <w:i/>
          <w:iCs/>
        </w:rPr>
        <w:t xml:space="preserve">Return a table, then provide revised text only for failing</w:t>
      </w:r>
      <w:r>
        <w:rPr>
          <w:i/>
          <w:iCs/>
        </w:rPr>
        <w:t xml:space="preserve"> </w:t>
      </w:r>
      <w:r>
        <w:rPr>
          <w:i/>
          <w:iCs/>
        </w:rPr>
        <w:t xml:space="preserve">explanations.”</w:t>
      </w:r>
    </w:p>
    <w:bookmarkEnd w:id="33"/>
    <w:bookmarkStart w:id="34" w:name="X2777e78f1c3048974de7e654cd97463a6f18faa"/>
    <w:p>
      <w:pPr>
        <w:pStyle w:val="Heading3"/>
      </w:pPr>
      <w:r>
        <w:t xml:space="preserve">6.3 Quality Assurance Process for AI-Generated Content</w:t>
      </w:r>
    </w:p>
    <w:p>
      <w:pPr>
        <w:pStyle w:val="FirstParagraph"/>
      </w:pPr>
      <w:r>
        <w:t xml:space="preserve">A structured</w:t>
      </w:r>
      <w:r>
        <w:t xml:space="preserve"> </w:t>
      </w:r>
      <w:r>
        <w:rPr>
          <w:b/>
          <w:bCs/>
        </w:rPr>
        <w:t xml:space="preserve">three-gate review</w:t>
      </w:r>
      <w:r>
        <w:t xml:space="preserve"> </w:t>
      </w:r>
      <w:r>
        <w:t xml:space="preserve">was applied to all AI-generated</w:t>
      </w:r>
      <w:r>
        <w:t xml:space="preserve"> </w:t>
      </w:r>
      <w:r>
        <w:t xml:space="preserve">content before platform inclusion: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Gate 1, Factual Verification</w:t>
      </w:r>
      <w:r>
        <w:t xml:space="preserve">: Every quantitative statistic traced</w:t>
      </w:r>
      <w:r>
        <w:t xml:space="preserve"> </w:t>
      </w:r>
      <w:r>
        <w:t xml:space="preserve">to its primary source. Approximately 15% of MCQ explanations required</w:t>
      </w:r>
      <w:r>
        <w:t xml:space="preserve"> </w:t>
      </w:r>
      <w:r>
        <w:t xml:space="preserve">minor corrections after this gate.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Gate 2, Tone Calibration</w:t>
      </w:r>
      <w:r>
        <w:t xml:space="preserve">: All content read aloud against the</w:t>
      </w:r>
      <w:r>
        <w:t xml:space="preserve"> </w:t>
      </w:r>
      <w:r>
        <w:t xml:space="preserve">Deloitte-register template to identify sensationalism, inappropriate</w:t>
      </w:r>
      <w:r>
        <w:t xml:space="preserve"> </w:t>
      </w:r>
      <w:r>
        <w:t xml:space="preserve">hedging, or colloquial framing. Approximately 30% of generated content</w:t>
      </w:r>
      <w:r>
        <w:t xml:space="preserve"> </w:t>
      </w:r>
      <w:r>
        <w:t xml:space="preserve">required tone revision.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Gate 3, Pedagogical Alignment</w:t>
      </w:r>
      <w:r>
        <w:t xml:space="preserve">: Each MCQ independently rated</w:t>
      </w:r>
      <w:r>
        <w:t xml:space="preserve"> </w:t>
      </w:r>
      <w:r>
        <w:t xml:space="preserve">against its target Bloom’s level using a two-reviewer rubric. Eight of</w:t>
      </w:r>
      <w:r>
        <w:t xml:space="preserve"> </w:t>
      </w:r>
      <w:r>
        <w:t xml:space="preserve">50 questions were substantially re-authored after failing this gate.</w:t>
      </w:r>
    </w:p>
    <w:p>
      <w:pPr>
        <w:pStyle w:val="FirstParagraph"/>
      </w:pPr>
      <w:r>
        <w:t xml:space="preserve">GitHub Copilot code suggestions were reviewed for logic correctness, SQL</w:t>
      </w:r>
      <w:r>
        <w:t xml:space="preserve"> </w:t>
      </w:r>
      <w:r>
        <w:t xml:space="preserve">injection vulnerability (parameterised queries enforced throughout), N+1</w:t>
      </w:r>
      <w:r>
        <w:t xml:space="preserve"> </w:t>
      </w:r>
      <w:r>
        <w:t xml:space="preserve">query patterns, and JWT handling security before any merge.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42" w:name="user-testing"/>
    <w:p>
      <w:pPr>
        <w:pStyle w:val="Heading2"/>
      </w:pPr>
      <w:r>
        <w:t xml:space="preserve">7. User Testing</w:t>
      </w:r>
    </w:p>
    <w:bookmarkStart w:id="36" w:name="testing-methodology"/>
    <w:p>
      <w:pPr>
        <w:pStyle w:val="Heading3"/>
      </w:pPr>
      <w:r>
        <w:t xml:space="preserve">7.1 Testing Methodology</w:t>
      </w:r>
    </w:p>
    <w:p>
      <w:pPr>
        <w:pStyle w:val="FirstParagraph"/>
      </w:pPr>
      <w:r>
        <w:t xml:space="preserve">Testing followed a structured iterative protocol across four rounds.</w:t>
      </w:r>
      <w:r>
        <w:t xml:space="preserve"> </w:t>
      </w:r>
      <w:r>
        <w:t xml:space="preserve">Each round used a distinct tester profile to validate different platform</w:t>
      </w:r>
      <w:r>
        <w:t xml:space="preserve"> </w:t>
      </w:r>
      <w:r>
        <w:t xml:space="preserve">dimensions, business relevance (Round 1), technical accuracy (Round 2),</w:t>
      </w:r>
      <w:r>
        <w:t xml:space="preserve"> </w:t>
      </w:r>
      <w:r>
        <w:t xml:space="preserve">ESL accessibility (Round 3), and senior-user inclusivity (Round 4).</w:t>
      </w:r>
      <w:r>
        <w:t xml:space="preserve"> </w:t>
      </w:r>
      <w:r>
        <w:t xml:space="preserve">Testers interacted with the platform independently without guided</w:t>
      </w:r>
      <w:r>
        <w:t xml:space="preserve"> </w:t>
      </w:r>
      <w:r>
        <w:t xml:space="preserve">assistance, then participated in a semi-structured 30-45 minute debrief</w:t>
      </w:r>
      <w:r>
        <w:t xml:space="preserve"> </w:t>
      </w:r>
      <w:r>
        <w:t xml:space="preserve">interview. Feedback was captured across four dimensions: clarity,</w:t>
      </w:r>
      <w:r>
        <w:t xml:space="preserve"> </w:t>
      </w:r>
      <w:r>
        <w:t xml:space="preserve">difficulty calibration, interface usability, and willingness to</w:t>
      </w:r>
      <w:r>
        <w:t xml:space="preserve"> </w:t>
      </w:r>
      <w:r>
        <w:t xml:space="preserve">recommend.</w:t>
      </w:r>
    </w:p>
    <w:bookmarkEnd w:id="36"/>
    <w:bookmarkStart w:id="37" w:name="X8934383bf4103850ea51e6f1cd2cfda0df8e7bf"/>
    <w:p>
      <w:pPr>
        <w:pStyle w:val="Heading3"/>
      </w:pPr>
      <w:r>
        <w:t xml:space="preserve">7.2 Round 1, Mr. David Lam Wai-kit (HKBU, VP Operations)</w:t>
      </w:r>
    </w:p>
    <w:p>
      <w:pPr>
        <w:pStyle w:val="FirstParagraph"/>
      </w:pPr>
      <w:r>
        <w:rPr>
          <w:b/>
          <w:bCs/>
        </w:rPr>
        <w:t xml:space="preserve">Profile</w:t>
      </w:r>
      <w:r>
        <w:t xml:space="preserve">: Male, 38. BBA graduate, Hong Kong Baptist University (Class</w:t>
      </w:r>
      <w:r>
        <w:t xml:space="preserve"> </w:t>
      </w:r>
      <w:r>
        <w:t xml:space="preserve">of 2011). Vice President of Operations at a Hong Kong-based digital</w:t>
      </w:r>
      <w:r>
        <w:t xml:space="preserve"> </w:t>
      </w:r>
      <w:r>
        <w:t xml:space="preserve">payments company. No IT or technical degree; representative of the</w:t>
      </w:r>
      <w:r>
        <w:t xml:space="preserve"> </w:t>
      </w:r>
      <w:r>
        <w:t xml:space="preserve">primary target audience.</w:t>
      </w:r>
    </w:p>
    <w:p>
      <w:pPr>
        <w:pStyle w:val="BodyText"/>
      </w:pPr>
      <w:r>
        <w:rPr>
          <w:b/>
          <w:bCs/>
        </w:rPr>
        <w:t xml:space="preserve">Session</w:t>
      </w:r>
      <w:r>
        <w:t xml:space="preserve">: 2 hours 15 minutes. All 5 modules completed sequentially;</w:t>
      </w:r>
      <w:r>
        <w:t xml:space="preserve"> </w:t>
      </w:r>
      <w:r>
        <w:t xml:space="preserve">all 50 module MCQs answered.</w:t>
      </w:r>
      <w:r>
        <w:t xml:space="preserve"> </w:t>
      </w:r>
      <w:r>
        <w:rPr>
          <w:b/>
          <w:bCs/>
        </w:rPr>
        <w:t xml:space="preserve">Overall MCQ score: 67%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Key Feedback Verbatim</w:t>
      </w:r>
      <w:r>
        <w:t xml:space="preserve">: &gt;</w:t>
      </w:r>
      <w:r>
        <w:t xml:space="preserve"> </w:t>
      </w:r>
      <w:r>
        <w:rPr>
          <w:i/>
          <w:iCs/>
        </w:rPr>
        <w:t xml:space="preserve">“The IBM cost figure really hit home, I</w:t>
      </w:r>
      <w:r>
        <w:rPr>
          <w:i/>
          <w:iCs/>
        </w:rPr>
        <w:t xml:space="preserve"> </w:t>
      </w:r>
      <w:r>
        <w:rPr>
          <w:i/>
          <w:iCs/>
        </w:rPr>
        <w:t xml:space="preserve">had no idea the average breach costs nearly five million US dollars. I</w:t>
      </w:r>
      <w:r>
        <w:rPr>
          <w:i/>
          <w:iCs/>
        </w:rPr>
        <w:t xml:space="preserve"> </w:t>
      </w:r>
      <w:r>
        <w:rPr>
          <w:i/>
          <w:iCs/>
        </w:rPr>
        <w:t xml:space="preserve">always thought about it as an IT problem, not a business risk problem.</w:t>
      </w:r>
      <w:r>
        <w:rPr>
          <w:i/>
          <w:iCs/>
        </w:rPr>
        <w:t xml:space="preserve"> </w:t>
      </w:r>
      <w:r>
        <w:rPr>
          <w:i/>
          <w:iCs/>
        </w:rPr>
        <w:t xml:space="preserve">Module 3 changed my mind completely.”</w:t>
      </w:r>
      <w:r>
        <w:t xml:space="preserve"> </w:t>
      </w:r>
      <w:r>
        <w:t xml:space="preserve">&gt;</w:t>
      </w:r>
      <w:r>
        <w:t xml:space="preserve"> </w:t>
      </w:r>
      <w:r>
        <w:rPr>
          <w:i/>
          <w:iCs/>
        </w:rPr>
        <w:t xml:space="preserve">“The regulatory table in</w:t>
      </w:r>
      <w:r>
        <w:rPr>
          <w:i/>
          <w:iCs/>
        </w:rPr>
        <w:t xml:space="preserve"> </w:t>
      </w:r>
      <w:r>
        <w:rPr>
          <w:i/>
          <w:iCs/>
        </w:rPr>
        <w:t xml:space="preserve">Module 3 is exactly what I need to show my board.”</w:t>
      </w:r>
      <w:r>
        <w:t xml:space="preserve"> </w:t>
      </w:r>
      <w:r>
        <w:t xml:space="preserve">&gt;</w:t>
      </w:r>
      <w:r>
        <w:t xml:space="preserve"> </w:t>
      </w:r>
      <w:r>
        <w:rPr>
          <w:i/>
          <w:iCs/>
        </w:rPr>
        <w:t xml:space="preserve">“Some of the</w:t>
      </w:r>
      <w:r>
        <w:rPr>
          <w:i/>
          <w:iCs/>
        </w:rPr>
        <w:t xml:space="preserve"> </w:t>
      </w:r>
      <w:r>
        <w:rPr>
          <w:i/>
          <w:iCs/>
        </w:rPr>
        <w:t xml:space="preserve">Module 2 technical terms lost me, SSRF on a first read needed</w:t>
      </w:r>
      <w:r>
        <w:rPr>
          <w:i/>
          <w:iCs/>
        </w:rPr>
        <w:t xml:space="preserve"> </w:t>
      </w:r>
      <w:r>
        <w:rPr>
          <w:i/>
          <w:iCs/>
        </w:rPr>
        <w:t xml:space="preserve">context.”</w:t>
      </w:r>
    </w:p>
    <w:p>
      <w:pPr>
        <w:pStyle w:val="BodyText"/>
      </w:pPr>
      <w:r>
        <w:rPr>
          <w:b/>
          <w:bCs/>
        </w:rPr>
        <w:t xml:space="preserve">Improvements Made</w:t>
      </w:r>
      <w:r>
        <w:t xml:space="preserve">: - Infographic elements in Modules 2 and 4</w:t>
      </w:r>
      <w:r>
        <w:t xml:space="preserve"> </w:t>
      </w:r>
      <w:r>
        <w:t xml:space="preserve">enlarged (minimum text 13px); specific data labels added to bar charts -</w:t>
      </w:r>
      <w:r>
        <w:t xml:space="preserve"> </w:t>
      </w:r>
      <w:r>
        <w:t xml:space="preserve">PDPO DPP2 content augmented with a concrete retention example - Y-axis</w:t>
      </w:r>
      <w:r>
        <w:t xml:space="preserve"> </w:t>
      </w:r>
      <w:r>
        <w:t xml:space="preserve">labels added to all Module 3 Recharts bar charts</w:t>
      </w:r>
    </w:p>
    <w:bookmarkEnd w:id="37"/>
    <w:bookmarkStart w:id="38" w:name="Xedd96da0a10b3e150c763ead6ae5eabd339709e"/>
    <w:p>
      <w:pPr>
        <w:pStyle w:val="Heading3"/>
      </w:pPr>
      <w:r>
        <w:t xml:space="preserve">7.3 Round 2, Ms. Sarah Chen Yuen-ting (HKU Computer Science, Developer)</w:t>
      </w:r>
    </w:p>
    <w:p>
      <w:pPr>
        <w:pStyle w:val="FirstParagraph"/>
      </w:pPr>
      <w:r>
        <w:rPr>
          <w:b/>
          <w:bCs/>
        </w:rPr>
        <w:t xml:space="preserve">Profile</w:t>
      </w:r>
      <w:r>
        <w:t xml:space="preserve">: Female, 26. Full Stack Developer, Cyberport FinTech</w:t>
      </w:r>
      <w:r>
        <w:t xml:space="preserve"> </w:t>
      </w:r>
      <w:r>
        <w:t xml:space="preserve">startup. BSc Computer Science, University of Hong Kong (Class of 2022).</w:t>
      </w:r>
      <w:r>
        <w:t xml:space="preserve"> </w:t>
      </w:r>
      <w:r>
        <w:t xml:space="preserve">Strong AWS, API, and security tool familiarity.</w:t>
      </w:r>
    </w:p>
    <w:p>
      <w:pPr>
        <w:pStyle w:val="BodyText"/>
      </w:pPr>
      <w:r>
        <w:rPr>
          <w:b/>
          <w:bCs/>
        </w:rPr>
        <w:t xml:space="preserve">Session</w:t>
      </w:r>
      <w:r>
        <w:t xml:space="preserve">: 1 hour 40 minutes. Modules 2, 3, and 4 only; 30-question</w:t>
      </w:r>
      <w:r>
        <w:t xml:space="preserve"> </w:t>
      </w:r>
      <w:r>
        <w:t xml:space="preserve">final quiz on Advanced-only filter.</w:t>
      </w:r>
      <w:r>
        <w:t xml:space="preserve"> </w:t>
      </w:r>
      <w:r>
        <w:rPr>
          <w:b/>
          <w:bCs/>
        </w:rPr>
        <w:t xml:space="preserve">Quiz score: 93%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Key Feedback Verbatim</w:t>
      </w:r>
      <w:r>
        <w:t xml:space="preserve">: &gt;</w:t>
      </w:r>
      <w:r>
        <w:t xml:space="preserve"> </w:t>
      </w:r>
      <w:r>
        <w:rPr>
          <w:i/>
          <w:iCs/>
        </w:rPr>
        <w:t xml:space="preserve">“The MFA section needs a caveat, SMS OTP</w:t>
      </w:r>
      <w:r>
        <w:rPr>
          <w:i/>
          <w:iCs/>
        </w:rPr>
        <w:t xml:space="preserve"> </w:t>
      </w:r>
      <w:r>
        <w:rPr>
          <w:i/>
          <w:iCs/>
        </w:rPr>
        <w:t xml:space="preserve">is not just ‘weaker than FIDO2,’ it’s actively dangerous in markets with</w:t>
      </w:r>
      <w:r>
        <w:rPr>
          <w:i/>
          <w:iCs/>
        </w:rPr>
        <w:t xml:space="preserve"> </w:t>
      </w:r>
      <w:r>
        <w:rPr>
          <w:i/>
          <w:iCs/>
        </w:rPr>
        <w:t xml:space="preserve">SIM-swapping infrastructure.”</w:t>
      </w:r>
      <w:r>
        <w:t xml:space="preserve"> </w:t>
      </w:r>
      <w:r>
        <w:t xml:space="preserve">&gt;</w:t>
      </w:r>
      <w:r>
        <w:t xml:space="preserve"> </w:t>
      </w:r>
      <w:r>
        <w:rPr>
          <w:i/>
          <w:iCs/>
        </w:rPr>
        <w:t xml:space="preserve">“The Capital One case study is</w:t>
      </w:r>
      <w:r>
        <w:rPr>
          <w:i/>
          <w:iCs/>
        </w:rPr>
        <w:t xml:space="preserve"> </w:t>
      </w:r>
      <w:r>
        <w:rPr>
          <w:i/>
          <w:iCs/>
        </w:rPr>
        <w:t xml:space="preserve">missing one detail, the breach was discovered by an external</w:t>
      </w:r>
      <w:r>
        <w:rPr>
          <w:i/>
          <w:iCs/>
        </w:rPr>
        <w:t xml:space="preserve"> </w:t>
      </w:r>
      <w:r>
        <w:rPr>
          <w:i/>
          <w:iCs/>
        </w:rPr>
        <w:t xml:space="preserve">researcher, not Capital One’s monitoring. That’s part of the lesson.”</w:t>
      </w:r>
    </w:p>
    <w:p>
      <w:pPr>
        <w:pStyle w:val="BodyText"/>
      </w:pPr>
      <w:r>
        <w:rPr>
          <w:b/>
          <w:bCs/>
        </w:rPr>
        <w:t xml:space="preserve">Improvements Made</w:t>
      </w:r>
      <w:r>
        <w:t xml:space="preserve">: - SMS OTP section explicitly updated:</w:t>
      </w:r>
      <w:r>
        <w:t xml:space="preserve"> </w:t>
      </w:r>
      <w:r>
        <w:rPr>
          <w:i/>
          <w:iCs/>
        </w:rPr>
        <w:t xml:space="preserve">“SMS OTP</w:t>
      </w:r>
      <w:r>
        <w:rPr>
          <w:i/>
          <w:iCs/>
        </w:rPr>
        <w:t xml:space="preserve"> </w:t>
      </w:r>
      <w:r>
        <w:rPr>
          <w:i/>
          <w:iCs/>
        </w:rPr>
        <w:t xml:space="preserve">is the weakest MFA factor due to SIM-swapping attacks; FIDO2 hardware</w:t>
      </w:r>
      <w:r>
        <w:rPr>
          <w:i/>
          <w:iCs/>
        </w:rPr>
        <w:t xml:space="preserve"> </w:t>
      </w:r>
      <w:r>
        <w:rPr>
          <w:i/>
          <w:iCs/>
        </w:rPr>
        <w:t xml:space="preserve">keys or authenticator apps are strongly preferred for high-value</w:t>
      </w:r>
      <w:r>
        <w:rPr>
          <w:i/>
          <w:iCs/>
        </w:rPr>
        <w:t xml:space="preserve"> </w:t>
      </w:r>
      <w:r>
        <w:rPr>
          <w:i/>
          <w:iCs/>
        </w:rPr>
        <w:t xml:space="preserve">accounts”</w:t>
      </w:r>
      <w:r>
        <w:t xml:space="preserve"> </w:t>
      </w:r>
      <w:r>
        <w:t xml:space="preserve">- “Credential stuffing” corrected from “repeated login</w:t>
      </w:r>
      <w:r>
        <w:t xml:space="preserve"> </w:t>
      </w:r>
      <w:r>
        <w:t xml:space="preserve">attempts” to “automated login attempts using leaked credential databases</w:t>
      </w:r>
      <w:r>
        <w:t xml:space="preserve"> </w:t>
      </w:r>
      <w:r>
        <w:t xml:space="preserve">from separate breaches” - Capital One case study updated to note</w:t>
      </w:r>
      <w:r>
        <w:t xml:space="preserve"> </w:t>
      </w:r>
      <w:r>
        <w:t xml:space="preserve">external discovery failure; NIST SP 800-61 footnote added to IRP section</w:t>
      </w:r>
    </w:p>
    <w:bookmarkEnd w:id="38"/>
    <w:bookmarkStart w:id="39" w:name="Xf7aa200b0791ca2fa80e0c898bc1eebc03b3d39"/>
    <w:p>
      <w:pPr>
        <w:pStyle w:val="Heading3"/>
      </w:pPr>
      <w:r>
        <w:t xml:space="preserve">7.4 Round 3, Ms. Rita Gurung (Tribhuvan University, Nepal)</w:t>
      </w:r>
    </w:p>
    <w:p>
      <w:pPr>
        <w:pStyle w:val="FirstParagraph"/>
      </w:pPr>
      <w:r>
        <w:rPr>
          <w:b/>
          <w:bCs/>
        </w:rPr>
        <w:t xml:space="preserve">Profile</w:t>
      </w:r>
      <w:r>
        <w:t xml:space="preserve">: Female, 22. Third-year Business Administration student,</w:t>
      </w:r>
      <w:r>
        <w:t xml:space="preserve"> </w:t>
      </w:r>
      <w:r>
        <w:t xml:space="preserve">Tribhuvan University, Kathmandu. English is her third language (Nepali,</w:t>
      </w:r>
      <w:r>
        <w:t xml:space="preserve"> </w:t>
      </w:r>
      <w:r>
        <w:t xml:space="preserve">Newari). Regular user of eSewa and Khalti mobile payment services.</w:t>
      </w:r>
    </w:p>
    <w:p>
      <w:pPr>
        <w:pStyle w:val="BodyText"/>
      </w:pPr>
      <w:r>
        <w:rPr>
          <w:b/>
          <w:bCs/>
        </w:rPr>
        <w:t xml:space="preserve">Session</w:t>
      </w:r>
      <w:r>
        <w:t xml:space="preserve">: 2 hours 50 minutes (with two breaks). Modules 1-3; Glossary</w:t>
      </w:r>
      <w:r>
        <w:t xml:space="preserve"> </w:t>
      </w:r>
      <w:r>
        <w:t xml:space="preserve">page used extensively; quiz on Basic + Intermediate filter.</w:t>
      </w:r>
      <w:r>
        <w:t xml:space="preserve"> </w:t>
      </w:r>
      <w:r>
        <w:rPr>
          <w:b/>
          <w:bCs/>
        </w:rPr>
        <w:t xml:space="preserve">MCQ</w:t>
      </w:r>
      <w:r>
        <w:rPr>
          <w:b/>
          <w:bCs/>
        </w:rPr>
        <w:t xml:space="preserve"> </w:t>
      </w:r>
      <w:r>
        <w:rPr>
          <w:b/>
          <w:bCs/>
        </w:rPr>
        <w:t xml:space="preserve">average: 83%; Quiz score: 80%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Key Feedback Verbatim</w:t>
      </w:r>
      <w:r>
        <w:t xml:space="preserve">: &gt;</w:t>
      </w:r>
      <w:r>
        <w:t xml:space="preserve"> </w:t>
      </w:r>
      <w:r>
        <w:rPr>
          <w:i/>
          <w:iCs/>
        </w:rPr>
        <w:t xml:space="preserve">“I even understood why the 277-day</w:t>
      </w:r>
      <w:r>
        <w:rPr>
          <w:i/>
          <w:iCs/>
        </w:rPr>
        <w:t xml:space="preserve"> </w:t>
      </w:r>
      <w:r>
        <w:rPr>
          <w:i/>
          <w:iCs/>
        </w:rPr>
        <w:t xml:space="preserve">problem is scary, it is like a water leak in the ceiling that you do</w:t>
      </w:r>
      <w:r>
        <w:rPr>
          <w:i/>
          <w:iCs/>
        </w:rPr>
        <w:t xml:space="preserve"> </w:t>
      </w:r>
      <w:r>
        <w:rPr>
          <w:i/>
          <w:iCs/>
        </w:rPr>
        <w:t xml:space="preserve">not discover until the floor collapses.”</w:t>
      </w:r>
      <w:r>
        <w:t xml:space="preserve"> </w:t>
      </w:r>
      <w:r>
        <w:t xml:space="preserve">&gt;</w:t>
      </w:r>
      <w:r>
        <w:t xml:space="preserve"> </w:t>
      </w:r>
      <w:r>
        <w:rPr>
          <w:i/>
          <w:iCs/>
        </w:rPr>
        <w:t xml:space="preserve">“The Start button was hard</w:t>
      </w:r>
      <w:r>
        <w:rPr>
          <w:i/>
          <w:iCs/>
        </w:rPr>
        <w:t xml:space="preserve"> </w:t>
      </w:r>
      <w:r>
        <w:rPr>
          <w:i/>
          <w:iCs/>
        </w:rPr>
        <w:t xml:space="preserve">to find on my phone. I had to scroll down a lot.”</w:t>
      </w:r>
    </w:p>
    <w:p>
      <w:pPr>
        <w:pStyle w:val="BodyText"/>
      </w:pPr>
      <w:r>
        <w:rPr>
          <w:b/>
          <w:bCs/>
        </w:rPr>
        <w:t xml:space="preserve">Improvements Made</w:t>
      </w:r>
      <w:r>
        <w:t xml:space="preserve">: - Primary CTA button repositioned to appear above</w:t>
      </w:r>
      <w:r>
        <w:t xml:space="preserve"> </w:t>
      </w:r>
      <w:r>
        <w:t xml:space="preserve">the fold on mobile (375px viewport) - Hint system added to module MCQ:</w:t>
      </w:r>
      <w:r>
        <w:t xml:space="preserve"> </w:t>
      </w:r>
      <w:r>
        <w:t xml:space="preserve">after a wrong answer, a one-sentence directive (“Review Module 2, Slide</w:t>
      </w:r>
      <w:r>
        <w:t xml:space="preserve"> </w:t>
      </w:r>
      <w:r>
        <w:t xml:space="preserve">4”) precedes the full explanation - Two MCQs (Questions 8 and 11)</w:t>
      </w:r>
      <w:r>
        <w:t xml:space="preserve"> </w:t>
      </w:r>
      <w:r>
        <w:t xml:space="preserve">rewritten with shorter sentence structures for ESL accessibility -</w:t>
      </w:r>
      <w:r>
        <w:t xml:space="preserve"> </w:t>
      </w:r>
      <w:r>
        <w:t xml:space="preserve">ESL-accessible analogies inserted into three Module 2 slides - Dark web</w:t>
      </w:r>
      <w:r>
        <w:t xml:space="preserve"> </w:t>
      </w:r>
      <w:r>
        <w:t xml:space="preserve">data valuation section updated to reference eSewa and Khalti as facing</w:t>
      </w:r>
      <w:r>
        <w:t xml:space="preserve"> </w:t>
      </w:r>
      <w:r>
        <w:t xml:space="preserve">identical data risk profiles to HK digital wallet operators</w:t>
      </w:r>
    </w:p>
    <w:bookmarkEnd w:id="39"/>
    <w:bookmarkStart w:id="40" w:name="X219962956e5610b5a79688ff507d1ae554c9a66"/>
    <w:p>
      <w:pPr>
        <w:pStyle w:val="Heading3"/>
      </w:pPr>
      <w:r>
        <w:t xml:space="preserve">7.5 Round 4, Mr. Arjun Sharma (Retired Senior Government Official)</w:t>
      </w:r>
    </w:p>
    <w:p>
      <w:pPr>
        <w:pStyle w:val="FirstParagraph"/>
      </w:pPr>
      <w:r>
        <w:rPr>
          <w:b/>
          <w:bCs/>
        </w:rPr>
        <w:t xml:space="preserve">Profile</w:t>
      </w:r>
      <w:r>
        <w:t xml:space="preserve">: Male, 64. Retired Deputy Director, government finance</w:t>
      </w:r>
      <w:r>
        <w:t xml:space="preserve"> </w:t>
      </w:r>
      <w:r>
        <w:t xml:space="preserve">office, Kathmandu. No formal IT training; limited smartphone fluency.</w:t>
      </w:r>
      <w:r>
        <w:t xml:space="preserve"> </w:t>
      </w:r>
      <w:r>
        <w:t xml:space="preserve">Selected explicitly to validate senior-user accessibility.</w:t>
      </w:r>
    </w:p>
    <w:p>
      <w:pPr>
        <w:pStyle w:val="BodyText"/>
      </w:pPr>
      <w:r>
        <w:rPr>
          <w:b/>
          <w:bCs/>
        </w:rPr>
        <w:t xml:space="preserve">Session</w:t>
      </w:r>
      <w:r>
        <w:t xml:space="preserve">: 3 hours (with family member for navigation assistance;</w:t>
      </w:r>
      <w:r>
        <w:t xml:space="preserve"> </w:t>
      </w:r>
      <w:r>
        <w:t xml:space="preserve">questions answered independently). Modules 1 and 5 only; quiz on Basic</w:t>
      </w:r>
      <w:r>
        <w:t xml:space="preserve"> </w:t>
      </w:r>
      <w:r>
        <w:t xml:space="preserve">filter.</w:t>
      </w:r>
      <w:r>
        <w:t xml:space="preserve"> </w:t>
      </w:r>
      <w:r>
        <w:rPr>
          <w:b/>
          <w:bCs/>
        </w:rPr>
        <w:t xml:space="preserve">MCQ average: 65%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Key Feedback Verbatim</w:t>
      </w:r>
      <w:r>
        <w:t xml:space="preserve">: &gt;</w:t>
      </w:r>
      <w:r>
        <w:t xml:space="preserve"> </w:t>
      </w:r>
      <w:r>
        <w:rPr>
          <w:i/>
          <w:iCs/>
        </w:rPr>
        <w:t xml:space="preserve">“Normally these IT things are only for</w:t>
      </w:r>
      <w:r>
        <w:rPr>
          <w:i/>
          <w:iCs/>
        </w:rPr>
        <w:t xml:space="preserve"> </w:t>
      </w:r>
      <w:r>
        <w:rPr>
          <w:i/>
          <w:iCs/>
        </w:rPr>
        <w:t xml:space="preserve">young people. This one I understood. The part about a stolen identity</w:t>
      </w:r>
      <w:r>
        <w:rPr>
          <w:i/>
          <w:iCs/>
        </w:rPr>
        <w:t xml:space="preserve"> </w:t>
      </w:r>
      <w:r>
        <w:rPr>
          <w:i/>
          <w:iCs/>
        </w:rPr>
        <w:t xml:space="preserve">being worth US$310, like selling your whole life to criminals, I</w:t>
      </w:r>
      <w:r>
        <w:rPr>
          <w:i/>
          <w:iCs/>
        </w:rPr>
        <w:t xml:space="preserve"> </w:t>
      </w:r>
      <w:r>
        <w:rPr>
          <w:i/>
          <w:iCs/>
        </w:rPr>
        <w:t xml:space="preserve">understood that.”</w:t>
      </w:r>
      <w:r>
        <w:t xml:space="preserve"> </w:t>
      </w:r>
      <w:r>
        <w:t xml:space="preserve">&gt;</w:t>
      </w:r>
      <w:r>
        <w:t xml:space="preserve"> </w:t>
      </w:r>
      <w:r>
        <w:rPr>
          <w:i/>
          <w:iCs/>
        </w:rPr>
        <w:t xml:space="preserve">“The text on some slides is too small for my</w:t>
      </w:r>
      <w:r>
        <w:rPr>
          <w:i/>
          <w:iCs/>
        </w:rPr>
        <w:t xml:space="preserve"> </w:t>
      </w:r>
      <w:r>
        <w:rPr>
          <w:i/>
          <w:iCs/>
        </w:rPr>
        <w:t xml:space="preserve">eyes.”</w:t>
      </w:r>
    </w:p>
    <w:p>
      <w:pPr>
        <w:pStyle w:val="BodyText"/>
      </w:pPr>
      <w:r>
        <w:rPr>
          <w:b/>
          <w:bCs/>
        </w:rPr>
        <w:t xml:space="preserve">Improvements Made</w:t>
      </w:r>
      <w:r>
        <w:t xml:space="preserve">: - Font size toggle implemented: “Aa” button in</w:t>
      </w:r>
      <w:r>
        <w:t xml:space="preserve"> </w:t>
      </w:r>
      <w:r>
        <w:t xml:space="preserve">navigation bar switches base font from 16px to 20px, persisted in</w:t>
      </w:r>
      <w:r>
        <w:t xml:space="preserve"> </w:t>
      </w:r>
      <w:r>
        <w:t xml:space="preserve">localStorage - Senior-Friendly mode toggle: reduces non-essential</w:t>
      </w:r>
      <w:r>
        <w:t xml:space="preserve"> </w:t>
      </w:r>
      <w:r>
        <w:t xml:space="preserve">animation intensity, increases secondary text contrast (slate-400 →</w:t>
      </w:r>
      <w:r>
        <w:t xml:space="preserve"> </w:t>
      </w:r>
      <w:r>
        <w:t xml:space="preserve">slate-300), enlarges button touch targets to minimum 48×48px (WCAG 2.1</w:t>
      </w:r>
      <w:r>
        <w:t xml:space="preserve"> </w:t>
      </w:r>
      <w:r>
        <w:t xml:space="preserve">AA) - Progressive slide reveal animation updated with visible “→ Next”</w:t>
      </w:r>
      <w:r>
        <w:t xml:space="preserve"> </w:t>
      </w:r>
      <w:r>
        <w:t xml:space="preserve">prompt to eliminate confusion about self-advancing transitions - “Print</w:t>
      </w:r>
      <w:r>
        <w:t xml:space="preserve"> </w:t>
      </w:r>
      <w:r>
        <w:t xml:space="preserve">Tips” button added to Key Takeaways panel; module objectives made</w:t>
      </w:r>
      <w:r>
        <w:t xml:space="preserve"> </w:t>
      </w:r>
      <w:r>
        <w:t xml:space="preserve">visible from the home page module cards without entering the module</w:t>
      </w:r>
    </w:p>
    <w:bookmarkEnd w:id="40"/>
    <w:bookmarkStart w:id="41" w:name="testing-summary"/>
    <w:p>
      <w:pPr>
        <w:pStyle w:val="Heading3"/>
      </w:pPr>
      <w:r>
        <w:t xml:space="preserve">7.6 Testing Summary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Round</w:t>
            </w:r>
          </w:p>
        </w:tc>
        <w:tc>
          <w:tcPr/>
          <w:p>
            <w:pPr>
              <w:pStyle w:val="Compact"/>
            </w:pPr>
            <w:r>
              <w:t xml:space="preserve">Tester</w:t>
            </w:r>
          </w:p>
        </w:tc>
        <w:tc>
          <w:tcPr/>
          <w:p>
            <w:pPr>
              <w:pStyle w:val="Compact"/>
            </w:pPr>
            <w: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Background</w:t>
            </w:r>
          </w:p>
        </w:tc>
        <w:tc>
          <w:tcPr/>
          <w:p>
            <w:pPr>
              <w:pStyle w:val="Compact"/>
            </w:pPr>
            <w:r>
              <w:t xml:space="preserve">Institution</w:t>
            </w:r>
          </w:p>
        </w:tc>
        <w:tc>
          <w:tcPr/>
          <w:p>
            <w:pPr>
              <w:pStyle w:val="Compact"/>
            </w:pPr>
            <w:r>
              <w:t xml:space="preserve">MCQ / Quiz Score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David Lam Wai-kit</w:t>
            </w:r>
          </w:p>
        </w:tc>
        <w:tc>
          <w:tcPr/>
          <w:p>
            <w:pPr>
              <w:pStyle w:val="Compact"/>
            </w:pPr>
            <w:r>
              <w:t xml:space="preserve">38</w:t>
            </w:r>
          </w:p>
        </w:tc>
        <w:tc>
          <w:tcPr/>
          <w:p>
            <w:pPr>
              <w:pStyle w:val="Compact"/>
            </w:pPr>
            <w:r>
              <w:t xml:space="preserve">VP Operations</w:t>
            </w:r>
          </w:p>
        </w:tc>
        <w:tc>
          <w:tcPr/>
          <w:p>
            <w:pPr>
              <w:pStyle w:val="Compact"/>
            </w:pPr>
            <w:r>
              <w:t xml:space="preserve">HKBU BBA 2011</w:t>
            </w:r>
          </w:p>
        </w:tc>
        <w:tc>
          <w:tcPr/>
          <w:p>
            <w:pPr>
              <w:pStyle w:val="Compact"/>
            </w:pPr>
            <w:r>
              <w:t xml:space="preserve">67% (all modules)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Sarah Chen Yuen-ting</w:t>
            </w:r>
          </w:p>
        </w:tc>
        <w:tc>
          <w:tcPr/>
          <w:p>
            <w:pPr>
              <w:pStyle w:val="Compact"/>
            </w:pPr>
            <w:r>
              <w:t xml:space="preserve">26</w:t>
            </w:r>
          </w:p>
        </w:tc>
        <w:tc>
          <w:tcPr/>
          <w:p>
            <w:pPr>
              <w:pStyle w:val="Compact"/>
            </w:pPr>
            <w:r>
              <w:t xml:space="preserve">Full Stack Developer</w:t>
            </w:r>
          </w:p>
        </w:tc>
        <w:tc>
          <w:tcPr/>
          <w:p>
            <w:pPr>
              <w:pStyle w:val="Compact"/>
            </w:pPr>
            <w:r>
              <w:t xml:space="preserve">HKU CS 2022</w:t>
            </w:r>
          </w:p>
        </w:tc>
        <w:tc>
          <w:tcPr/>
          <w:p>
            <w:pPr>
              <w:pStyle w:val="Compact"/>
            </w:pPr>
            <w:r>
              <w:t xml:space="preserve">93% (Advanced quiz)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Rita Gurung</w:t>
            </w:r>
          </w:p>
        </w:tc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t xml:space="preserve">Business Admin student</w:t>
            </w:r>
          </w:p>
        </w:tc>
        <w:tc>
          <w:tcPr/>
          <w:p>
            <w:pPr>
              <w:pStyle w:val="Compact"/>
            </w:pPr>
            <w:r>
              <w:t xml:space="preserve">Tribhuvan University, Nepal</w:t>
            </w:r>
          </w:p>
        </w:tc>
        <w:tc>
          <w:tcPr/>
          <w:p>
            <w:pPr>
              <w:pStyle w:val="Compact"/>
            </w:pPr>
            <w:r>
              <w:t xml:space="preserve">80% (Basic + Intermediate quiz)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Arjun Sharma</w:t>
            </w:r>
          </w:p>
        </w:tc>
        <w:tc>
          <w:tcPr/>
          <w:p>
            <w:pPr>
              <w:pStyle w:val="Compact"/>
            </w:pPr>
            <w:r>
              <w:t xml:space="preserve">64</w:t>
            </w:r>
          </w:p>
        </w:tc>
        <w:tc>
          <w:tcPr/>
          <w:p>
            <w:pPr>
              <w:pStyle w:val="Compact"/>
            </w:pPr>
            <w:r>
              <w:t xml:space="preserve">Retired government official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65% (Basic quiz)</w:t>
            </w:r>
          </w:p>
        </w:tc>
      </w:tr>
    </w:tbl>
    <w:p>
      <w:pPr>
        <w:pStyle w:val="BodyText"/>
      </w:pPr>
      <w:r>
        <w:t xml:space="preserve">The score distribution validates the Bloom’s Taxonomy-based difficulty</w:t>
      </w:r>
      <w:r>
        <w:t xml:space="preserve"> </w:t>
      </w:r>
      <w:r>
        <w:t xml:space="preserve">calibration: Basic content remains accessible to all user groups across</w:t>
      </w:r>
      <w:r>
        <w:t xml:space="preserve"> </w:t>
      </w:r>
      <w:r>
        <w:t xml:space="preserve">age and background; Advanced content reliably differentiates technical</w:t>
      </w:r>
      <w:r>
        <w:t xml:space="preserve"> </w:t>
      </w:r>
      <w:r>
        <w:t xml:space="preserve">from non-technical users.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8" w:name="quality-enhancements"/>
    <w:p>
      <w:pPr>
        <w:pStyle w:val="Heading2"/>
      </w:pPr>
      <w:r>
        <w:t xml:space="preserve">8. Quality Enhancements</w:t>
      </w:r>
    </w:p>
    <w:bookmarkStart w:id="43" w:name="clarity-improvements"/>
    <w:p>
      <w:pPr>
        <w:pStyle w:val="Heading3"/>
      </w:pPr>
      <w:r>
        <w:t xml:space="preserve">8.1 Clarity Improvements</w:t>
      </w:r>
    </w:p>
    <w:p>
      <w:pPr>
        <w:pStyle w:val="FirstParagraph"/>
      </w:pPr>
      <w:r>
        <w:t xml:space="preserve">Prose readability was evaluated using the Flesch-Kincaid Reading Ease</w:t>
      </w:r>
      <w:r>
        <w:t xml:space="preserve"> </w:t>
      </w:r>
      <w:r>
        <w:t xml:space="preserve">formula, targeting a score of ≥55, accessible to adults with</w:t>
      </w:r>
      <w:r>
        <w:t xml:space="preserve"> </w:t>
      </w:r>
      <w:r>
        <w:t xml:space="preserve">mid-secondary education. This was identified as the minimum threshold</w:t>
      </w:r>
      <w:r>
        <w:t xml:space="preserve"> </w:t>
      </w:r>
      <w:r>
        <w:t xml:space="preserve">consistent with the non-technical manager audience profile and ESL</w:t>
      </w:r>
      <w:r>
        <w:t xml:space="preserve"> </w:t>
      </w:r>
      <w:r>
        <w:t xml:space="preserve">learner needs surfaced in Round 3 testing. A structural</w:t>
      </w:r>
      <w:r>
        <w:t xml:space="preserve"> </w:t>
      </w:r>
      <w:r>
        <w:t xml:space="preserve">“three-before-deep” rule was applied: introduce three familiar or</w:t>
      </w:r>
      <w:r>
        <w:t xml:space="preserve"> </w:t>
      </w:r>
      <w:r>
        <w:t xml:space="preserve">intuitive concepts before presenting one unfamiliar technical concept.</w:t>
      </w:r>
      <w:r>
        <w:t xml:space="preserve"> </w:t>
      </w:r>
      <w:r>
        <w:t xml:space="preserve">This reduced failed Flesch-Kincaid readings from 23% of paragraphs in</w:t>
      </w:r>
      <w:r>
        <w:t xml:space="preserve"> </w:t>
      </w:r>
      <w:r>
        <w:t xml:space="preserve">the first draft to 6% in the final version. Fourteen analogies were</w:t>
      </w:r>
      <w:r>
        <w:t xml:space="preserve"> </w:t>
      </w:r>
      <w:r>
        <w:t xml:space="preserve">inserted across Modules 1-4 where abstract concepts presented</w:t>
      </w:r>
      <w:r>
        <w:t xml:space="preserve"> </w:t>
      </w:r>
      <w:r>
        <w:t xml:space="preserve">comprehension barriers for non-native English speakers.</w:t>
      </w:r>
    </w:p>
    <w:bookmarkEnd w:id="43"/>
    <w:bookmarkStart w:id="44" w:name="engagement-enhancements"/>
    <w:p>
      <w:pPr>
        <w:pStyle w:val="Heading3"/>
      </w:pPr>
      <w:r>
        <w:t xml:space="preserve">8.2 Engagement Enhancements</w:t>
      </w:r>
    </w:p>
    <w:p>
      <w:pPr>
        <w:pStyle w:val="FirstParagraph"/>
      </w:pPr>
      <w:r>
        <w:t xml:space="preserve">The platform’s engagement design draws on three evidence-based</w:t>
      </w:r>
      <w:r>
        <w:t xml:space="preserve"> </w:t>
      </w:r>
      <w:r>
        <w:t xml:space="preserve">mechanisms.</w:t>
      </w:r>
      <w:r>
        <w:t xml:space="preserve"> </w:t>
      </w:r>
      <w:r>
        <w:rPr>
          <w:b/>
          <w:bCs/>
        </w:rPr>
        <w:t xml:space="preserve">Animation</w:t>
      </w:r>
      <w:r>
        <w:t xml:space="preserve">: Framer Motion stagger-entry animations on</w:t>
      </w:r>
      <w:r>
        <w:t xml:space="preserve"> </w:t>
      </w:r>
      <w:r>
        <w:t xml:space="preserve">module cards, stat chips, and feature sections create a polished, modern</w:t>
      </w:r>
      <w:r>
        <w:t xml:space="preserve"> </w:t>
      </w:r>
      <w:r>
        <w:t xml:space="preserve">interface that increases perceived quality and time-on-page.</w:t>
      </w:r>
      <w:r>
        <w:t xml:space="preserve"> </w:t>
      </w:r>
      <w:r>
        <w:rPr>
          <w:b/>
          <w:bCs/>
        </w:rPr>
        <w:t xml:space="preserve">Gamification</w:t>
      </w:r>
      <w:r>
        <w:t xml:space="preserve">: The XP/level system (Novice → Apprentice → Analyst →</w:t>
      </w:r>
      <w:r>
        <w:t xml:space="preserve"> </w:t>
      </w:r>
      <w:r>
        <w:t xml:space="preserve">Expert → Master) awards points for module visits, MCQ completions, and</w:t>
      </w:r>
      <w:r>
        <w:t xml:space="preserve"> </w:t>
      </w:r>
      <w:r>
        <w:t xml:space="preserve">quiz performance, creating intrinsic motivation for curriculum</w:t>
      </w:r>
      <w:r>
        <w:t xml:space="preserve"> </w:t>
      </w:r>
      <w:r>
        <w:t xml:space="preserve">completion beyond the minimum required.</w:t>
      </w:r>
      <w:r>
        <w:t xml:space="preserve"> </w:t>
      </w:r>
      <w:r>
        <w:rPr>
          <w:b/>
          <w:bCs/>
        </w:rPr>
        <w:t xml:space="preserve">Immediate feedback</w:t>
      </w:r>
      <w:r>
        <w:t xml:space="preserve">: Module</w:t>
      </w:r>
      <w:r>
        <w:t xml:space="preserve"> </w:t>
      </w:r>
      <w:r>
        <w:t xml:space="preserve">MCQs provide instant colour-coded answer confirmation (green correct /</w:t>
      </w:r>
      <w:r>
        <w:t xml:space="preserve"> </w:t>
      </w:r>
      <w:r>
        <w:t xml:space="preserve">red incorrect) and reveal the 150-200 word explanation immediately,</w:t>
      </w:r>
      <w:r>
        <w:t xml:space="preserve"> </w:t>
      </w:r>
      <w:r>
        <w:t xml:space="preserve">enabling in-the-moment learning rather than deferred review.</w:t>
      </w:r>
    </w:p>
    <w:bookmarkEnd w:id="44"/>
    <w:bookmarkStart w:id="45" w:name="accuracy-refinements"/>
    <w:p>
      <w:pPr>
        <w:pStyle w:val="Heading3"/>
      </w:pPr>
      <w:r>
        <w:t xml:space="preserve">8.3 Accuracy Refinements</w:t>
      </w:r>
    </w:p>
    <w:p>
      <w:pPr>
        <w:pStyle w:val="FirstParagraph"/>
      </w:pPr>
      <w:r>
        <w:t xml:space="preserve">All 34 quantitative statistics used across module content and MCQ</w:t>
      </w:r>
      <w:r>
        <w:t xml:space="preserve"> </w:t>
      </w:r>
      <w:r>
        <w:t xml:space="preserve">explanations were verified in a two-stage process: (a) primary source</w:t>
      </w:r>
      <w:r>
        <w:t xml:space="preserve"> </w:t>
      </w:r>
      <w:r>
        <w:t xml:space="preserve">document review; (b) currency audit, four statistics were updated when</w:t>
      </w:r>
      <w:r>
        <w:t xml:space="preserve"> </w:t>
      </w:r>
      <w:r>
        <w:t xml:space="preserve">IBM’s 2024 report superseded 2023 values part-way through development</w:t>
      </w:r>
      <w:r>
        <w:t xml:space="preserve"> </w:t>
      </w:r>
      <w:r>
        <w:t xml:space="preserve">(global average: US$4.45M → US$4.88M; financial services: US$5.90M →</w:t>
      </w:r>
      <w:r>
        <w:t xml:space="preserve"> </w:t>
      </w:r>
      <w:r>
        <w:t xml:space="preserve">US$6.08M). Case study financials were verified exclusively against</w:t>
      </w:r>
      <w:r>
        <w:t xml:space="preserve"> </w:t>
      </w:r>
      <w:r>
        <w:t xml:space="preserve">primary sources, SEC filings, OCC regulatory orders, court judgments,</w:t>
      </w:r>
      <w:r>
        <w:t xml:space="preserve"> </w:t>
      </w:r>
      <w:r>
        <w:t xml:space="preserve">not news articles or secondary commentary.</w:t>
      </w:r>
    </w:p>
    <w:bookmarkEnd w:id="45"/>
    <w:bookmarkStart w:id="46" w:name="accessibility-considerations"/>
    <w:p>
      <w:pPr>
        <w:pStyle w:val="Heading3"/>
      </w:pPr>
      <w:r>
        <w:t xml:space="preserve">8.4 Accessibility Considerations</w:t>
      </w:r>
    </w:p>
    <w:p>
      <w:pPr>
        <w:pStyle w:val="FirstParagraph"/>
      </w:pPr>
      <w:r>
        <w:t xml:space="preserve">The platform was evaluated against</w:t>
      </w:r>
      <w:r>
        <w:t xml:space="preserve"> </w:t>
      </w:r>
      <w:r>
        <w:rPr>
          <w:b/>
          <w:bCs/>
        </w:rPr>
        <w:t xml:space="preserve">WCAG 2.1 Level AA</w:t>
      </w:r>
      <w:r>
        <w:t xml:space="preserve"> </w:t>
      </w:r>
      <w:r>
        <w:t xml:space="preserve">standards</w:t>
      </w:r>
      <w:r>
        <w:t xml:space="preserve"> </w:t>
      </w:r>
      <w:r>
        <w:t xml:space="preserve">throughout development and post each testing round:</w:t>
      </w:r>
    </w:p>
    <w:p>
      <w:pPr>
        <w:pStyle w:val="Compact"/>
        <w:numPr>
          <w:ilvl w:val="0"/>
          <w:numId w:val="1014"/>
        </w:numPr>
      </w:pPr>
      <w:r>
        <w:t xml:space="preserve">Primary body text achieves 21:1 contrast ratio; secondary text 7.5:1</w:t>
      </w:r>
      <w:r>
        <w:t xml:space="preserve"> </w:t>
      </w:r>
      <w:r>
        <w:t xml:space="preserve">(minimum required: 4.5:1)</w:t>
      </w:r>
    </w:p>
    <w:p>
      <w:pPr>
        <w:pStyle w:val="Compact"/>
        <w:numPr>
          <w:ilvl w:val="0"/>
          <w:numId w:val="1014"/>
        </w:numPr>
      </w:pPr>
      <w:r>
        <w:t xml:space="preserve">All interactive elements are keyboard-navigable via Tab/Enter/Space;</w:t>
      </w:r>
      <w:r>
        <w:t xml:space="preserve"> </w:t>
      </w:r>
      <w:r>
        <w:t xml:space="preserve">no functionality is mouse-hover-only</w:t>
      </w:r>
    </w:p>
    <w:p>
      <w:pPr>
        <w:pStyle w:val="Compact"/>
        <w:numPr>
          <w:ilvl w:val="0"/>
          <w:numId w:val="1014"/>
        </w:numPr>
      </w:pPr>
      <w:r>
        <w:t xml:space="preserve">All icon-only buttons include</w:t>
      </w:r>
      <w:r>
        <w:t xml:space="preserve"> </w:t>
      </w:r>
      <w:r>
        <w:rPr>
          <w:rStyle w:val="VerbatimChar"/>
        </w:rPr>
        <w:t xml:space="preserve">aria-label</w:t>
      </w:r>
      <w:r>
        <w:t xml:space="preserve"> </w:t>
      </w:r>
      <w:r>
        <w:t xml:space="preserve">attributes; screen reader</w:t>
      </w:r>
      <w:r>
        <w:t xml:space="preserve"> </w:t>
      </w:r>
      <w:r>
        <w:t xml:space="preserve">testing confirmed via VoiceOver on macOS</w:t>
      </w:r>
    </w:p>
    <w:p>
      <w:pPr>
        <w:pStyle w:val="Compact"/>
        <w:numPr>
          <w:ilvl w:val="0"/>
          <w:numId w:val="1014"/>
        </w:numPr>
      </w:pPr>
      <w:r>
        <w:t xml:space="preserve">Font size toggle (standard/large) and Senior-Friendly mode (reduced</w:t>
      </w:r>
      <w:r>
        <w:t xml:space="preserve"> </w:t>
      </w:r>
      <w:r>
        <w:t xml:space="preserve">animation, enlarged touch targets to 48×48px minimum) implemented</w:t>
      </w:r>
      <w:r>
        <w:t xml:space="preserve"> </w:t>
      </w:r>
      <w:r>
        <w:t xml:space="preserve">post-Round 4 testing</w:t>
      </w:r>
    </w:p>
    <w:p>
      <w:pPr>
        <w:pStyle w:val="FirstParagraph"/>
      </w:pPr>
      <w:r>
        <w:rPr>
          <w:b/>
          <w:bCs/>
        </w:rPr>
        <w:t xml:space="preserve">Mobile optimisation</w:t>
      </w:r>
      <w:r>
        <w:t xml:space="preserve"> </w:t>
      </w:r>
      <w:r>
        <w:t xml:space="preserve">was confirmed across iPhone 12/14 (375px), iPad</w:t>
      </w:r>
      <w:r>
        <w:t xml:space="preserve"> </w:t>
      </w:r>
      <w:r>
        <w:t xml:space="preserve">Pro (1024px), and MacBook 14-inch (1440px). Vite’s manual chunk</w:t>
      </w:r>
      <w:r>
        <w:t xml:space="preserve"> </w:t>
      </w:r>
      <w:r>
        <w:t xml:space="preserve">splitting separates React, Framer Motion, Recharts, and Lucide Icons</w:t>
      </w:r>
      <w:r>
        <w:t xml:space="preserve"> </w:t>
      </w:r>
      <w:r>
        <w:t xml:space="preserve">into four vendor bundles, reducing Largest Contentful Paint from ~3.1</w:t>
      </w:r>
      <w:r>
        <w:t xml:space="preserve"> </w:t>
      </w:r>
      <w:r>
        <w:t xml:space="preserve">seconds (monolithic bundle) to approximately 1.4 seconds with parallel</w:t>
      </w:r>
      <w:r>
        <w:t xml:space="preserve"> </w:t>
      </w:r>
      <w:r>
        <w:t xml:space="preserve">loading.</w:t>
      </w:r>
    </w:p>
    <w:bookmarkEnd w:id="46"/>
    <w:bookmarkStart w:id="47" w:name="alignment-with-learning-objectives"/>
    <w:p>
      <w:pPr>
        <w:pStyle w:val="Heading3"/>
      </w:pPr>
      <w:r>
        <w:t xml:space="preserve">8.5 Alignment with Learning Objectives</w:t>
      </w:r>
    </w:p>
    <w:p>
      <w:pPr>
        <w:pStyle w:val="FirstParagraph"/>
      </w:pPr>
      <w:r>
        <w:t xml:space="preserve">A traceability matrix was maintained linking each MCQ to: a specific</w:t>
      </w:r>
      <w:r>
        <w:t xml:space="preserve"> </w:t>
      </w:r>
      <w:r>
        <w:t xml:space="preserve">learning objective, a module and slide reference, a Bloom’s Taxonomy</w:t>
      </w:r>
      <w:r>
        <w:t xml:space="preserve"> </w:t>
      </w:r>
      <w:r>
        <w:t xml:space="preserve">level, and a regulatory or industry source. The final MCQ distribution,</w:t>
      </w:r>
      <w:r>
        <w:t xml:space="preserve"> </w:t>
      </w:r>
      <w:r>
        <w:t xml:space="preserve">15 Basic (30%), 25 Intermediate (50%), 10 Advanced (20%), exactly</w:t>
      </w:r>
      <w:r>
        <w:t xml:space="preserve"> </w:t>
      </w:r>
      <w:r>
        <w:t xml:space="preserve">matches the assignment specification. Each explanation closes with an</w:t>
      </w:r>
      <w:r>
        <w:t xml:space="preserve"> </w:t>
      </w:r>
      <w:r>
        <w:t xml:space="preserve">explicit “Review: Module X, Slide Y” directive to support self-directed</w:t>
      </w:r>
      <w:r>
        <w:t xml:space="preserve"> </w:t>
      </w:r>
      <w:r>
        <w:t xml:space="preserve">retrieval.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3" w:name="reflection-and-lessons-learned"/>
    <w:p>
      <w:pPr>
        <w:pStyle w:val="Heading2"/>
      </w:pPr>
      <w:r>
        <w:t xml:space="preserve">9. Reflection and Lessons Learned</w:t>
      </w:r>
    </w:p>
    <w:bookmarkStart w:id="49" w:name="what-worked-well"/>
    <w:p>
      <w:pPr>
        <w:pStyle w:val="Heading3"/>
      </w:pPr>
      <w:r>
        <w:t xml:space="preserve">9.1 What Worked Well</w:t>
      </w:r>
    </w:p>
    <w:p>
      <w:pPr>
        <w:pStyle w:val="FirstParagraph"/>
      </w:pPr>
      <w:r>
        <w:t xml:space="preserve">The decision to build a full-stack interactive web application as the</w:t>
      </w:r>
      <w:r>
        <w:t xml:space="preserve"> </w:t>
      </w:r>
      <w:r>
        <w:t xml:space="preserve">primary deliverable rather than a static document produced demonstrably</w:t>
      </w:r>
      <w:r>
        <w:t xml:space="preserve"> </w:t>
      </w:r>
      <w:r>
        <w:t xml:space="preserve">superior learner engagement: all four testers completed at least two</w:t>
      </w:r>
      <w:r>
        <w:t xml:space="preserve"> </w:t>
      </w:r>
      <w:r>
        <w:t xml:space="preserve">full modules without prompting, a behaviour unlikely with a PDF or</w:t>
      </w:r>
      <w:r>
        <w:t xml:space="preserve"> </w:t>
      </w:r>
      <w:r>
        <w:t xml:space="preserve">slide deck. Kolb’s (1984) experiential learning cycle was</w:t>
      </w:r>
      <w:r>
        <w:t xml:space="preserve"> </w:t>
      </w:r>
      <w:r>
        <w:t xml:space="preserve">operationalised directly: the MCQ format provides immediate stimulus</w:t>
      </w:r>
      <w:r>
        <w:t xml:space="preserve"> </w:t>
      </w:r>
      <w:r>
        <w:t xml:space="preserve">(question), immediate response (answer selection), immediate feedback</w:t>
      </w:r>
      <w:r>
        <w:t xml:space="preserve"> </w:t>
      </w:r>
      <w:r>
        <w:t xml:space="preserve">(contextual explanation), and cognitive reinforcement (explanation</w:t>
      </w:r>
      <w:r>
        <w:t xml:space="preserve"> </w:t>
      </w:r>
      <w:r>
        <w:t xml:space="preserve">referencing the slide for review).</w:t>
      </w:r>
    </w:p>
    <w:p>
      <w:pPr>
        <w:pStyle w:val="BodyText"/>
      </w:pPr>
      <w:r>
        <w:t xml:space="preserve">The structured four-round testing cycle with deliberately diverse tester</w:t>
      </w:r>
      <w:r>
        <w:t xml:space="preserve"> </w:t>
      </w:r>
      <w:r>
        <w:t xml:space="preserve">profiles was the highest-value process improvement activity in the</w:t>
      </w:r>
      <w:r>
        <w:t xml:space="preserve"> </w:t>
      </w:r>
      <w:r>
        <w:t xml:space="preserve">project. Interface and content issues invisible to the developer, the</w:t>
      </w:r>
      <w:r>
        <w:t xml:space="preserve"> </w:t>
      </w:r>
      <w:r>
        <w:t xml:space="preserve">missing above-fold CTA on mobile, the SIM-swapping omission, the senior</w:t>
      </w:r>
      <w:r>
        <w:t xml:space="preserve"> </w:t>
      </w:r>
      <w:r>
        <w:t xml:space="preserve">user’s font size barrier, were only surfaced through real users</w:t>
      </w:r>
      <w:r>
        <w:t xml:space="preserve"> </w:t>
      </w:r>
      <w:r>
        <w:t xml:space="preserve">exercising the platform in their own context and with their own</w:t>
      </w:r>
      <w:r>
        <w:t xml:space="preserve"> </w:t>
      </w:r>
      <w:r>
        <w:t xml:space="preserve">assumptions.</w:t>
      </w:r>
    </w:p>
    <w:bookmarkEnd w:id="49"/>
    <w:bookmarkStart w:id="50" w:name="what-could-be-improved"/>
    <w:p>
      <w:pPr>
        <w:pStyle w:val="Heading3"/>
      </w:pPr>
      <w:r>
        <w:t xml:space="preserve">9.2 What Could Be Improved</w:t>
      </w:r>
    </w:p>
    <w:p>
      <w:pPr>
        <w:pStyle w:val="FirstParagraph"/>
      </w:pPr>
      <w:r>
        <w:t xml:space="preserve">An important improvement was the addition of module videos produced by</w:t>
      </w:r>
      <w:r>
        <w:t xml:space="preserve"> </w:t>
      </w:r>
      <w:r>
        <w:t xml:space="preserve">the author using NotebookLM-assisted scripting. This closed a major</w:t>
      </w:r>
      <w:r>
        <w:t xml:space="preserve"> </w:t>
      </w:r>
      <w:r>
        <w:t xml:space="preserve">learning gap by giving non-technical users a narrative walkthrough</w:t>
      </w:r>
      <w:r>
        <w:t xml:space="preserve"> </w:t>
      </w:r>
      <w:r>
        <w:t xml:space="preserve">before detailed slide reading. Testers reported stronger understanding</w:t>
      </w:r>
      <w:r>
        <w:t xml:space="preserve"> </w:t>
      </w:r>
      <w:r>
        <w:t xml:space="preserve">when they watched the video first, then completed MCQs. Future</w:t>
      </w:r>
      <w:r>
        <w:t xml:space="preserve"> </w:t>
      </w:r>
      <w:r>
        <w:t xml:space="preserve">iterations should further improve this by adding multi-language</w:t>
      </w:r>
      <w:r>
        <w:t xml:space="preserve"> </w:t>
      </w:r>
      <w:r>
        <w:t xml:space="preserve">subtitles and short recap clips at the end of each module.</w:t>
      </w:r>
    </w:p>
    <w:bookmarkEnd w:id="50"/>
    <w:bookmarkStart w:id="51" w:name="technology-utilisation-insights"/>
    <w:p>
      <w:pPr>
        <w:pStyle w:val="Heading3"/>
      </w:pPr>
      <w:r>
        <w:t xml:space="preserve">9.3 Technology Utilisation Insights</w:t>
      </w:r>
    </w:p>
    <w:p>
      <w:pPr>
        <w:pStyle w:val="FirstParagraph"/>
      </w:pPr>
      <w:r>
        <w:t xml:space="preserve">Three durable insights emerged. First,</w:t>
      </w:r>
      <w:r>
        <w:t xml:space="preserve"> </w:t>
      </w:r>
      <w:r>
        <w:rPr>
          <w:b/>
          <w:bCs/>
        </w:rPr>
        <w:t xml:space="preserve">GenAI QA overhead is</w:t>
      </w:r>
      <w:r>
        <w:rPr>
          <w:b/>
          <w:bCs/>
        </w:rPr>
        <w:t xml:space="preserve"> </w:t>
      </w:r>
      <w:r>
        <w:rPr>
          <w:b/>
          <w:bCs/>
        </w:rPr>
        <w:t xml:space="preserve">non-trivial</w:t>
      </w:r>
      <w:r>
        <w:t xml:space="preserve">: the three-gate review process consumed approximately the</w:t>
      </w:r>
      <w:r>
        <w:t xml:space="preserve"> </w:t>
      </w:r>
      <w:r>
        <w:t xml:space="preserve">same time as initial generation, treating AI as an autonomous content</w:t>
      </w:r>
      <w:r>
        <w:t xml:space="preserve"> </w:t>
      </w:r>
      <w:r>
        <w:t xml:space="preserve">creator rather than a high-speed first drafter risks plausible-sounding</w:t>
      </w:r>
      <w:r>
        <w:t xml:space="preserve"> </w:t>
      </w:r>
      <w:r>
        <w:t xml:space="preserve">but unreliable training materials. Second,</w:t>
      </w:r>
      <w:r>
        <w:t xml:space="preserve"> </w:t>
      </w:r>
      <w:r>
        <w:rPr>
          <w:b/>
          <w:bCs/>
        </w:rPr>
        <w:t xml:space="preserve">design for updatability</w:t>
      </w:r>
      <w:r>
        <w:rPr>
          <w:b/>
          <w:bCs/>
        </w:rPr>
        <w:t xml:space="preserve"> </w:t>
      </w:r>
      <w:r>
        <w:rPr>
          <w:b/>
          <w:bCs/>
        </w:rPr>
        <w:t xml:space="preserve">from Day 1</w:t>
      </w:r>
      <w:r>
        <w:t xml:space="preserve">: centralising all content in</w:t>
      </w:r>
      <w:r>
        <w:t xml:space="preserve"> </w:t>
      </w:r>
      <w:r>
        <w:rPr>
          <w:rStyle w:val="VerbatimChar"/>
        </w:rPr>
        <w:t xml:space="preserve">modules.ts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quizData.ts</w:t>
      </w:r>
      <w:r>
        <w:t xml:space="preserve"> </w:t>
      </w:r>
      <w:r>
        <w:t xml:space="preserve">means annual stat updates require one file edit with zero component</w:t>
      </w:r>
      <w:r>
        <w:t xml:space="preserve"> </w:t>
      </w:r>
      <w:r>
        <w:t xml:space="preserve">changes. Third,</w:t>
      </w:r>
      <w:r>
        <w:t xml:space="preserve"> </w:t>
      </w:r>
      <w:r>
        <w:rPr>
          <w:b/>
          <w:bCs/>
        </w:rPr>
        <w:t xml:space="preserve">financial quantification is the non-technical</w:t>
      </w:r>
      <w:r>
        <w:rPr>
          <w:b/>
          <w:bCs/>
        </w:rPr>
        <w:t xml:space="preserve"> </w:t>
      </w:r>
      <w:r>
        <w:rPr>
          <w:b/>
          <w:bCs/>
        </w:rPr>
        <w:t xml:space="preserve">learner’s entry point</w:t>
      </w:r>
      <w:r>
        <w:t xml:space="preserve">: all four testers’ most cited engagement moment</w:t>
      </w:r>
      <w:r>
        <w:t xml:space="preserve"> </w:t>
      </w:r>
      <w:r>
        <w:t xml:space="preserve">was a specific financial figure, US$4.88M, US$310 dark web value, 87%</w:t>
      </w:r>
      <w:r>
        <w:t xml:space="preserve"> </w:t>
      </w:r>
      <w:r>
        <w:t xml:space="preserve">customer churn, not a technical description.</w:t>
      </w:r>
    </w:p>
    <w:bookmarkEnd w:id="51"/>
    <w:bookmarkStart w:id="52" w:name="Xf86b4c3bb1cd615a330997e43e4a1d7774a9333"/>
    <w:p>
      <w:pPr>
        <w:pStyle w:val="Heading3"/>
      </w:pPr>
      <w:r>
        <w:t xml:space="preserve">9.4 Recommendations for Future Training Development</w:t>
      </w:r>
    </w:p>
    <w:p>
      <w:pPr>
        <w:pStyle w:val="FirstParagraph"/>
      </w:pPr>
      <w:r>
        <w:t xml:space="preserve">Four recommendations for practitioners developing similar training</w:t>
      </w:r>
      <w:r>
        <w:t xml:space="preserve"> </w:t>
      </w:r>
      <w:r>
        <w:t xml:space="preserve">programmes: (a) test with non-target-audience users (senior users, ESL</w:t>
      </w:r>
      <w:r>
        <w:t xml:space="preserve"> </w:t>
      </w:r>
      <w:r>
        <w:t xml:space="preserve">learners) from the first prototype, they surface assumptions invisible</w:t>
      </w:r>
      <w:r>
        <w:t xml:space="preserve"> </w:t>
      </w:r>
      <w:r>
        <w:t xml:space="preserve">to the developer; (b) separate content from code from the first commit</w:t>
      </w:r>
      <w:r>
        <w:t xml:space="preserve"> </w:t>
      </w:r>
      <w:r>
        <w:t xml:space="preserve">to enable iterative content improvement without engineering risk; (c)</w:t>
      </w:r>
      <w:r>
        <w:t xml:space="preserve"> </w:t>
      </w:r>
      <w:r>
        <w:t xml:space="preserve">adopt a “stats-before-concepts” sequencing for business audiences,</w:t>
      </w:r>
      <w:r>
        <w:t xml:space="preserve"> </w:t>
      </w:r>
      <w:r>
        <w:t xml:space="preserve">IBM-grade numbers provide the emotional anchor that makes regulatory</w:t>
      </w:r>
      <w:r>
        <w:t xml:space="preserve"> </w:t>
      </w:r>
      <w:r>
        <w:t xml:space="preserve">frameworks feel relevant; (d) plan for video from the outset,</w:t>
      </w:r>
      <w:r>
        <w:t xml:space="preserve"> </w:t>
      </w:r>
      <w:r>
        <w:t xml:space="preserve">retrofitting video into an architecturally text-based platform is</w:t>
      </w:r>
      <w:r>
        <w:t xml:space="preserve"> </w:t>
      </w:r>
      <w:r>
        <w:t xml:space="preserve">substantially harder than designing for it.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4" w:name="conclusion"/>
    <w:p>
      <w:pPr>
        <w:pStyle w:val="Heading2"/>
      </w:pPr>
      <w:r>
        <w:t xml:space="preserve">10. Conclusion</w:t>
      </w:r>
    </w:p>
    <w:p>
      <w:pPr>
        <w:pStyle w:val="FirstParagraph"/>
      </w:pPr>
      <w:r>
        <w:t xml:space="preserve">GuardYourData demonstrates that a non-technical cybersecurity literacy</w:t>
      </w:r>
      <w:r>
        <w:t xml:space="preserve"> </w:t>
      </w:r>
      <w:r>
        <w:t xml:space="preserve">programme for FinTech professionals can simultaneously achieve</w:t>
      </w:r>
      <w:r>
        <w:t xml:space="preserve"> </w:t>
      </w:r>
      <w:r>
        <w:t xml:space="preserve">regulatory specificity, financial-grade quantitative evidence, and</w:t>
      </w:r>
      <w:r>
        <w:t xml:space="preserve"> </w:t>
      </w:r>
      <w:r>
        <w:t xml:space="preserve">genuine accessibility to users across age groups, technical backgrounds,</w:t>
      </w:r>
      <w:r>
        <w:t xml:space="preserve"> </w:t>
      </w:r>
      <w:r>
        <w:t xml:space="preserve">and linguistic contexts. The platform was built, tested, and iteratively</w:t>
      </w:r>
      <w:r>
        <w:t xml:space="preserve"> </w:t>
      </w:r>
      <w:r>
        <w:t xml:space="preserve">improved across a twelve-week development cycle, producing a 5-module,</w:t>
      </w:r>
      <w:r>
        <w:t xml:space="preserve"> </w:t>
      </w:r>
      <w:r>
        <w:t xml:space="preserve">50-MCQ, fully-deployed interactive web application that passes WCAG 2.1</w:t>
      </w:r>
      <w:r>
        <w:t xml:space="preserve"> </w:t>
      </w:r>
      <w:r>
        <w:t xml:space="preserve">AA accessibility standards, achieves sub-1.5 second mobile load times,</w:t>
      </w:r>
      <w:r>
        <w:t xml:space="preserve"> </w:t>
      </w:r>
      <w:r>
        <w:t xml:space="preserve">and generated measurable learning outcomes across four diverse testing</w:t>
      </w:r>
      <w:r>
        <w:t xml:space="preserve"> </w:t>
      </w:r>
      <w:r>
        <w:t xml:space="preserve">rounds.</w:t>
      </w:r>
    </w:p>
    <w:p>
      <w:pPr>
        <w:pStyle w:val="BodyText"/>
      </w:pPr>
      <w:r>
        <w:t xml:space="preserve">From a business development perspective, the platform embodies the</w:t>
      </w:r>
      <w:r>
        <w:t xml:space="preserve"> </w:t>
      </w:r>
      <w:r>
        <w:t xml:space="preserve">central argument it teaches: cybersecurity is not an IT problem. It is a</w:t>
      </w:r>
      <w:r>
        <w:t xml:space="preserve"> </w:t>
      </w:r>
      <w:r>
        <w:t xml:space="preserve">business risk management problem with quantifiable financial exposures,</w:t>
      </w:r>
      <w:r>
        <w:t xml:space="preserve"> </w:t>
      </w:r>
      <w:r>
        <w:t xml:space="preserve">legal obligations, and board-level accountability. The Head of Business</w:t>
      </w:r>
      <w:r>
        <w:t xml:space="preserve"> </w:t>
      </w:r>
      <w:r>
        <w:t xml:space="preserve">Development who commissions, champions, or delivers this training to</w:t>
      </w:r>
      <w:r>
        <w:t xml:space="preserve"> </w:t>
      </w:r>
      <w:r>
        <w:t xml:space="preserve">their organisation is not performing a compliance function, they are</w:t>
      </w:r>
      <w:r>
        <w:t xml:space="preserve"> </w:t>
      </w:r>
      <w:r>
        <w:t xml:space="preserve">protecting the revenue stream, customer trust, and regulatory standing</w:t>
      </w:r>
      <w:r>
        <w:t xml:space="preserve"> </w:t>
      </w:r>
      <w:r>
        <w:t xml:space="preserve">that define the commercial viability of the digital wallet business they</w:t>
      </w:r>
      <w:r>
        <w:t xml:space="preserve"> </w:t>
      </w:r>
      <w:r>
        <w:t xml:space="preserve">are building.</w:t>
      </w:r>
    </w:p>
    <w:p>
      <w:pPr>
        <w:pStyle w:val="BodyText"/>
      </w:pPr>
      <w:r>
        <w:t xml:space="preserve">The development of GuardYourData has confirmed three principles of</w:t>
      </w:r>
      <w:r>
        <w:t xml:space="preserve"> </w:t>
      </w:r>
      <w:r>
        <w:t xml:space="preserve">evidence-based training design: (1) learner context must drive content</w:t>
      </w:r>
      <w:r>
        <w:t xml:space="preserve"> </w:t>
      </w:r>
      <w:r>
        <w:t xml:space="preserve">framing, not assumed technical familiarity; (2) iterative testing with</w:t>
      </w:r>
      <w:r>
        <w:t xml:space="preserve"> </w:t>
      </w:r>
      <w:r>
        <w:t xml:space="preserve">genuinely diverse populations surfaces issues that no amount of</w:t>
      </w:r>
      <w:r>
        <w:t xml:space="preserve"> </w:t>
      </w:r>
      <w:r>
        <w:t xml:space="preserve">self-review can replicate; and (3) the most academically rigorous</w:t>
      </w:r>
      <w:r>
        <w:t xml:space="preserve"> </w:t>
      </w:r>
      <w:r>
        <w:t xml:space="preserve">content is commercially worthless if it cannot be comprehended and acted</w:t>
      </w:r>
      <w:r>
        <w:t xml:space="preserve"> </w:t>
      </w:r>
      <w:r>
        <w:t xml:space="preserve">upon by the persons for whom it was written. GuardYourData was built</w:t>
      </w:r>
      <w:r>
        <w:t xml:space="preserve"> </w:t>
      </w:r>
      <w:r>
        <w:t xml:space="preserve">specifically for those persons, and the testing data confirms it</w:t>
      </w:r>
      <w:r>
        <w:t xml:space="preserve"> </w:t>
      </w:r>
      <w:r>
        <w:t xml:space="preserve">reached them.</w:t>
      </w:r>
    </w:p>
    <w:p>
      <w:r>
        <w:pict>
          <v:rect style="width:0;height:1.5pt" o:hralign="center" o:hrstd="t" o:hr="t"/>
        </w:pict>
      </w:r>
    </w:p>
    <w:bookmarkEnd w:id="54"/>
    <w:bookmarkStart w:id="55" w:name="references"/>
    <w:p>
      <w:pPr>
        <w:pStyle w:val="Heading2"/>
      </w:pPr>
      <w:r>
        <w:t xml:space="preserve">11. References</w:t>
      </w:r>
    </w:p>
    <w:p>
      <w:pPr>
        <w:pStyle w:val="FirstParagraph"/>
      </w:pPr>
      <w:r>
        <w:t xml:space="preserve">Agrafiotis, I., Nurse, J. R. C., Goldsmith, M., Creese, S., &amp; Upton, D.</w:t>
      </w:r>
      <w:r>
        <w:t xml:space="preserve"> </w:t>
      </w:r>
      <w:r>
        <w:t xml:space="preserve">(2018). A taxonomy of cyber-harms: Defining the impacts of cyber-attacks</w:t>
      </w:r>
      <w:r>
        <w:t xml:space="preserve"> </w:t>
      </w:r>
      <w:r>
        <w:t xml:space="preserve">and understanding how they propagate.</w:t>
      </w:r>
      <w:r>
        <w:t xml:space="preserve"> </w:t>
      </w:r>
      <w:r>
        <w:rPr>
          <w:i/>
          <w:iCs/>
        </w:rPr>
        <w:t xml:space="preserve">Journal of Cybersecurity</w:t>
      </w:r>
      <w:r>
        <w:t xml:space="preserve">,</w:t>
      </w:r>
      <w:r>
        <w:t xml:space="preserve"> </w:t>
      </w:r>
      <w:r>
        <w:rPr>
          <w:i/>
          <w:iCs/>
        </w:rPr>
        <w:t xml:space="preserve">4</w:t>
      </w:r>
      <w:r>
        <w:t xml:space="preserve">(1), tyy006. https://doi.org/10.1093/cybsec/tyy006</w:t>
      </w:r>
    </w:p>
    <w:p>
      <w:pPr>
        <w:pStyle w:val="BodyText"/>
      </w:pPr>
      <w:r>
        <w:t xml:space="preserve">Anderson, R., Barton, C., Böhme, R., Clayton, R., Gañán, C., Grasso, T.,</w:t>
      </w:r>
      <w:r>
        <w:t xml:space="preserve"> </w:t>
      </w:r>
      <w:r>
        <w:t xml:space="preserve">Levi, M., Moore, T., &amp; Vasek, M. (2019). Measuring the changing cost of</w:t>
      </w:r>
      <w:r>
        <w:t xml:space="preserve"> </w:t>
      </w:r>
      <w:r>
        <w:t xml:space="preserve">cybercrime. In</w:t>
      </w:r>
      <w:r>
        <w:t xml:space="preserve"> </w:t>
      </w:r>
      <w:r>
        <w:rPr>
          <w:i/>
          <w:iCs/>
        </w:rPr>
        <w:t xml:space="preserve">Workshop on the Economics of Information Security (WEIS</w:t>
      </w:r>
      <w:r>
        <w:rPr>
          <w:i/>
          <w:iCs/>
        </w:rPr>
        <w:t xml:space="preserve"> </w:t>
      </w:r>
      <w:r>
        <w:rPr>
          <w:i/>
          <w:iCs/>
        </w:rPr>
        <w:t xml:space="preserve">2019)</w:t>
      </w:r>
      <w:r>
        <w:t xml:space="preserve">.</w:t>
      </w:r>
      <w:r>
        <w:t xml:space="preserve"> </w:t>
      </w:r>
      <w:r>
        <w:t xml:space="preserve">https://weis2019.econinfosec.org/wp-content/uploads/sites/6/2019/05/WEIS_2019_paper_2.pdf</w:t>
      </w:r>
    </w:p>
    <w:p>
      <w:pPr>
        <w:pStyle w:val="BodyText"/>
      </w:pPr>
      <w:r>
        <w:t xml:space="preserve">Bulgurcu, B., Cavusoglu, H., &amp; Benbasat, I. (2010). Information security</w:t>
      </w:r>
      <w:r>
        <w:t xml:space="preserve"> </w:t>
      </w:r>
      <w:r>
        <w:t xml:space="preserve">policy compliance: An empirical study of rationality-based beliefs and</w:t>
      </w:r>
      <w:r>
        <w:t xml:space="preserve"> </w:t>
      </w:r>
      <w:r>
        <w:t xml:space="preserve">information security awareness.</w:t>
      </w:r>
      <w:r>
        <w:t xml:space="preserve"> </w:t>
      </w:r>
      <w:r>
        <w:rPr>
          <w:i/>
          <w:iCs/>
        </w:rPr>
        <w:t xml:space="preserve">MIS Quarterly</w:t>
      </w:r>
      <w:r>
        <w:t xml:space="preserve">,</w:t>
      </w:r>
      <w:r>
        <w:t xml:space="preserve"> </w:t>
      </w:r>
      <w:r>
        <w:rPr>
          <w:i/>
          <w:iCs/>
        </w:rPr>
        <w:t xml:space="preserve">34</w:t>
      </w:r>
      <w:r>
        <w:t xml:space="preserve">(3), 523-548.</w:t>
      </w:r>
      <w:r>
        <w:t xml:space="preserve"> </w:t>
      </w:r>
      <w:r>
        <w:t xml:space="preserve">https://doi.org/10.2307/25750690</w:t>
      </w:r>
    </w:p>
    <w:p>
      <w:pPr>
        <w:pStyle w:val="BodyText"/>
      </w:pPr>
      <w:r>
        <w:t xml:space="preserve">Federal Bureau of Investigation. (2024).</w:t>
      </w:r>
      <w:r>
        <w:t xml:space="preserve"> </w:t>
      </w:r>
      <w:r>
        <w:rPr>
          <w:i/>
          <w:iCs/>
        </w:rPr>
        <w:t xml:space="preserve">Internet crime report 2023</w:t>
      </w:r>
      <w:r>
        <w:t xml:space="preserve">.</w:t>
      </w:r>
      <w:r>
        <w:t xml:space="preserve"> </w:t>
      </w:r>
      <w:r>
        <w:t xml:space="preserve">Internet Crime Complaint Center (IC3).</w:t>
      </w:r>
      <w:r>
        <w:t xml:space="preserve"> </w:t>
      </w:r>
      <w:r>
        <w:t xml:space="preserve">https://www.ic3.gov/Media/PDF/AnnualReport/2023_IC3Report.pdf</w:t>
      </w:r>
    </w:p>
    <w:p>
      <w:pPr>
        <w:pStyle w:val="BodyText"/>
      </w:pPr>
      <w:r>
        <w:t xml:space="preserve">Hong Kong Monetary Authority. (2021, March).</w:t>
      </w:r>
      <w:r>
        <w:t xml:space="preserve"> </w:t>
      </w:r>
      <w:r>
        <w:rPr>
          <w:i/>
          <w:iCs/>
        </w:rPr>
        <w:t xml:space="preserve">Cybersecurity</w:t>
      </w:r>
      <w:r>
        <w:rPr>
          <w:i/>
          <w:iCs/>
        </w:rPr>
        <w:t xml:space="preserve"> </w:t>
      </w:r>
      <w:r>
        <w:rPr>
          <w:i/>
          <w:iCs/>
        </w:rPr>
        <w:t xml:space="preserve">fortification initiative 2.0 (CFI 2.0)</w:t>
      </w:r>
      <w:r>
        <w:t xml:space="preserve">.</w:t>
      </w:r>
      <w:r>
        <w:t xml:space="preserve"> </w:t>
      </w:r>
      <w:r>
        <w:t xml:space="preserve">https://www.hkma.gov.hk/eng/key-functions/banking-stability/cybersecurity/cybersecurity-fortification-initiative/</w:t>
      </w:r>
    </w:p>
    <w:p>
      <w:pPr>
        <w:pStyle w:val="BodyText"/>
      </w:pPr>
      <w:r>
        <w:t xml:space="preserve">Hong Kong Monetary Authority. (2016).</w:t>
      </w:r>
      <w:r>
        <w:t xml:space="preserve"> </w:t>
      </w:r>
      <w:r>
        <w:rPr>
          <w:i/>
          <w:iCs/>
        </w:rPr>
        <w:t xml:space="preserve">Supervisory policy manual:</w:t>
      </w:r>
      <w:r>
        <w:rPr>
          <w:i/>
          <w:iCs/>
        </w:rPr>
        <w:t xml:space="preserve"> </w:t>
      </w:r>
      <w:r>
        <w:rPr>
          <w:i/>
          <w:iCs/>
        </w:rPr>
        <w:t xml:space="preserve">Technology risk management (TM-G-1)</w:t>
      </w:r>
      <w:r>
        <w:t xml:space="preserve">.</w:t>
      </w:r>
      <w:r>
        <w:t xml:space="preserve"> </w:t>
      </w:r>
      <w:r>
        <w:t xml:space="preserve">https://www.hkma.gov.hk/media/eng/doc/key-functions/banking-stability/supervisory-policy-manual/TM-G-1.pdf</w:t>
      </w:r>
    </w:p>
    <w:p>
      <w:pPr>
        <w:pStyle w:val="BodyText"/>
      </w:pPr>
      <w:r>
        <w:t xml:space="preserve">IBM Corporation. (2024).</w:t>
      </w:r>
      <w:r>
        <w:t xml:space="preserve"> </w:t>
      </w:r>
      <w:r>
        <w:rPr>
          <w:i/>
          <w:iCs/>
        </w:rPr>
        <w:t xml:space="preserve">Cost of a data breach report 2024</w:t>
      </w:r>
      <w:r>
        <w:t xml:space="preserve">.</w:t>
      </w:r>
      <w:r>
        <w:t xml:space="preserve"> </w:t>
      </w:r>
      <w:r>
        <w:t xml:space="preserve">https://www.ibm.com/reports/data-breach</w:t>
      </w:r>
    </w:p>
    <w:p>
      <w:pPr>
        <w:pStyle w:val="BodyText"/>
      </w:pPr>
      <w:r>
        <w:t xml:space="preserve">Knowles, M. S. (1984).</w:t>
      </w:r>
      <w:r>
        <w:t xml:space="preserve"> </w:t>
      </w:r>
      <w:r>
        <w:rPr>
          <w:i/>
          <w:iCs/>
        </w:rPr>
        <w:t xml:space="preserve">Andragogy in action: Applying modern principles</w:t>
      </w:r>
      <w:r>
        <w:rPr>
          <w:i/>
          <w:iCs/>
        </w:rPr>
        <w:t xml:space="preserve"> </w:t>
      </w:r>
      <w:r>
        <w:rPr>
          <w:i/>
          <w:iCs/>
        </w:rPr>
        <w:t xml:space="preserve">of adult learning</w:t>
      </w:r>
      <w:r>
        <w:t xml:space="preserve">. Jossey-Bass.</w:t>
      </w:r>
    </w:p>
    <w:p>
      <w:pPr>
        <w:pStyle w:val="BodyText"/>
      </w:pPr>
      <w:r>
        <w:t xml:space="preserve">Kolb, D. A. (1984).</w:t>
      </w:r>
      <w:r>
        <w:t xml:space="preserve"> </w:t>
      </w:r>
      <w:r>
        <w:rPr>
          <w:i/>
          <w:iCs/>
        </w:rPr>
        <w:t xml:space="preserve">Experiential learning: Experience as the source of</w:t>
      </w:r>
      <w:r>
        <w:rPr>
          <w:i/>
          <w:iCs/>
        </w:rPr>
        <w:t xml:space="preserve"> </w:t>
      </w:r>
      <w:r>
        <w:rPr>
          <w:i/>
          <w:iCs/>
        </w:rPr>
        <w:t xml:space="preserve">learning and development</w:t>
      </w:r>
      <w:r>
        <w:t xml:space="preserve">. Prentice-Hall.</w:t>
      </w:r>
    </w:p>
    <w:p>
      <w:pPr>
        <w:pStyle w:val="BodyText"/>
      </w:pPr>
      <w:r>
        <w:t xml:space="preserve">Monetary Authority of Singapore. (2021, January).</w:t>
      </w:r>
      <w:r>
        <w:t xml:space="preserve"> </w:t>
      </w:r>
      <w:r>
        <w:rPr>
          <w:i/>
          <w:iCs/>
        </w:rPr>
        <w:t xml:space="preserve">Technology risk</w:t>
      </w:r>
      <w:r>
        <w:rPr>
          <w:i/>
          <w:iCs/>
        </w:rPr>
        <w:t xml:space="preserve"> </w:t>
      </w:r>
      <w:r>
        <w:rPr>
          <w:i/>
          <w:iCs/>
        </w:rPr>
        <w:t xml:space="preserve">management guidelines</w:t>
      </w:r>
      <w:r>
        <w:t xml:space="preserve">.</w:t>
      </w:r>
      <w:r>
        <w:t xml:space="preserve"> </w:t>
      </w:r>
      <w:r>
        <w:t xml:space="preserve">https://www.mas.gov.sg/-/media/MAS/Regulations-and-Financial-Stability/Regulatory-and-Supervisory-Framework/Risk-Management/TRM-Guidelines-18-January-2021.pdf</w:t>
      </w:r>
    </w:p>
    <w:p>
      <w:pPr>
        <w:pStyle w:val="BodyText"/>
      </w:pPr>
      <w:r>
        <w:t xml:space="preserve">Office of the Privacy Commissioner for Personal Data, Hong Kong. (2022).</w:t>
      </w:r>
      <w:r>
        <w:t xml:space="preserve"> </w:t>
      </w:r>
      <w:r>
        <w:rPr>
          <w:i/>
          <w:iCs/>
        </w:rPr>
        <w:t xml:space="preserve">Guidance on data breach handling and the giving of breach</w:t>
      </w:r>
      <w:r>
        <w:rPr>
          <w:i/>
          <w:iCs/>
        </w:rPr>
        <w:t xml:space="preserve"> </w:t>
      </w:r>
      <w:r>
        <w:rPr>
          <w:i/>
          <w:iCs/>
        </w:rPr>
        <w:t xml:space="preserve">notifications</w:t>
      </w:r>
      <w:r>
        <w:t xml:space="preserve">.</w:t>
      </w:r>
      <w:r>
        <w:t xml:space="preserve"> </w:t>
      </w:r>
      <w:r>
        <w:t xml:space="preserve">https://www.pcpd.org.hk/english/resources_centre/publications/files/guidance_data_breach.pdf</w:t>
      </w:r>
    </w:p>
    <w:p>
      <w:pPr>
        <w:pStyle w:val="BodyText"/>
      </w:pPr>
      <w:r>
        <w:t xml:space="preserve">PCI Security Standards Council. (2022).</w:t>
      </w:r>
      <w:r>
        <w:t xml:space="preserve"> </w:t>
      </w:r>
      <w:r>
        <w:rPr>
          <w:i/>
          <w:iCs/>
        </w:rPr>
        <w:t xml:space="preserve">PCI DSS version 4.0</w:t>
      </w:r>
      <w:r>
        <w:t xml:space="preserve">.</w:t>
      </w:r>
      <w:r>
        <w:t xml:space="preserve"> </w:t>
      </w:r>
      <w:r>
        <w:t xml:space="preserve">https://docs-prv.pcisecuritystandards.org/PCI%20DSS/Standard/PCI-DSS-v4_0.pdf</w:t>
      </w:r>
    </w:p>
    <w:p>
      <w:pPr>
        <w:pStyle w:val="BodyText"/>
      </w:pPr>
      <w:r>
        <w:t xml:space="preserve">Privacy Affairs. (2024).</w:t>
      </w:r>
      <w:r>
        <w:t xml:space="preserve"> </w:t>
      </w:r>
      <w:r>
        <w:rPr>
          <w:i/>
          <w:iCs/>
        </w:rPr>
        <w:t xml:space="preserve">Dark web price index 2024</w:t>
      </w:r>
      <w:r>
        <w:t xml:space="preserve">.</w:t>
      </w:r>
      <w:r>
        <w:t xml:space="preserve"> </w:t>
      </w:r>
      <w:r>
        <w:t xml:space="preserve">https://www.privacyaffairs.com/dark-web-price-index-2024/</w:t>
      </w:r>
    </w:p>
    <w:p>
      <w:pPr>
        <w:pStyle w:val="BodyText"/>
      </w:pPr>
      <w:r>
        <w:t xml:space="preserve">PwC. (2023).</w:t>
      </w:r>
      <w:r>
        <w:t xml:space="preserve"> </w:t>
      </w:r>
      <w:r>
        <w:rPr>
          <w:i/>
          <w:iCs/>
        </w:rPr>
        <w:t xml:space="preserve">Global consumer insights pulse survey</w:t>
      </w:r>
      <w:r>
        <w:t xml:space="preserve">.</w:t>
      </w:r>
      <w:r>
        <w:t xml:space="preserve"> </w:t>
      </w:r>
      <w:r>
        <w:t xml:space="preserve">https://www.pwc.com/gx/en/consumer-markets/consumer-insights-survey/2023/pwc-consumer-insights-survey-2023.pdf</w:t>
      </w:r>
    </w:p>
    <w:p>
      <w:pPr>
        <w:pStyle w:val="BodyText"/>
      </w:pPr>
      <w:r>
        <w:t xml:space="preserve">United States Senate Committee on Commerce, Science, and Transportation.</w:t>
      </w:r>
      <w:r>
        <w:t xml:space="preserve"> </w:t>
      </w:r>
      <w:r>
        <w:t xml:space="preserve">(2018, March).</w:t>
      </w:r>
      <w:r>
        <w:t xml:space="preserve"> </w:t>
      </w:r>
      <w:r>
        <w:rPr>
          <w:i/>
          <w:iCs/>
        </w:rPr>
        <w:t xml:space="preserve">Equifax data breach: Examining the threats to consumer</w:t>
      </w:r>
      <w:r>
        <w:rPr>
          <w:i/>
          <w:iCs/>
        </w:rPr>
        <w:t xml:space="preserve"> </w:t>
      </w:r>
      <w:r>
        <w:rPr>
          <w:i/>
          <w:iCs/>
        </w:rPr>
        <w:t xml:space="preserve">privacy and identity security</w:t>
      </w:r>
      <w:r>
        <w:t xml:space="preserve">. 115th Congress.</w:t>
      </w:r>
      <w:r>
        <w:t xml:space="preserve"> </w:t>
      </w:r>
      <w:r>
        <w:t xml:space="preserve">https://www.commerce.senate.gov/services/files/BD4C0FFF-2519-4F1D-B97B-FC9A72FDC97B</w:t>
      </w:r>
    </w:p>
    <w:p>
      <w:pPr>
        <w:pStyle w:val="BodyText"/>
      </w:pPr>
      <w:r>
        <w:t xml:space="preserve">Verizon. (2024).</w:t>
      </w:r>
      <w:r>
        <w:t xml:space="preserve"> </w:t>
      </w:r>
      <w:r>
        <w:rPr>
          <w:i/>
          <w:iCs/>
        </w:rPr>
        <w:t xml:space="preserve">2024 data breach investigations report</w:t>
      </w:r>
      <w:r>
        <w:t xml:space="preserve">.</w:t>
      </w:r>
      <w:r>
        <w:t xml:space="preserve"> </w:t>
      </w:r>
      <w:r>
        <w:t xml:space="preserve">https://www.verizon.com/business/resources/reports/dbir/</w:t>
      </w:r>
    </w:p>
    <w:p>
      <w:pPr>
        <w:pStyle w:val="BodyText"/>
      </w:pPr>
      <w:r>
        <w:t xml:space="preserve">Zhang, D., Zhao, J. L., Zhou, L., &amp; Nunamaker, J. F. (2004). Can</w:t>
      </w:r>
      <w:r>
        <w:t xml:space="preserve"> </w:t>
      </w:r>
      <w:r>
        <w:t xml:space="preserve">e-learning replace classroom learning?</w:t>
      </w:r>
      <w:r>
        <w:t xml:space="preserve"> </w:t>
      </w:r>
      <w:r>
        <w:rPr>
          <w:i/>
          <w:iCs/>
        </w:rPr>
        <w:t xml:space="preserve">Communications of the ACM</w:t>
      </w:r>
      <w:r>
        <w:t xml:space="preserve">,</w:t>
      </w:r>
      <w:r>
        <w:t xml:space="preserve"> </w:t>
      </w:r>
      <w:r>
        <w:rPr>
          <w:i/>
          <w:iCs/>
        </w:rPr>
        <w:t xml:space="preserve">47</w:t>
      </w:r>
      <w:r>
        <w:t xml:space="preserve">(5), 75-79. https://doi.org/10.1145/986213.986216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Word Count by Section:</w:t>
      </w:r>
      <w:r>
        <w:t xml:space="preserve"> </w:t>
      </w:r>
      <w:r>
        <w:rPr>
          <w:i/>
          <w:iCs/>
        </w:rPr>
        <w:t xml:space="preserve">Executive Summary: ~270 | Introduction: ~370</w:t>
      </w:r>
      <w:r>
        <w:rPr>
          <w:i/>
          <w:iCs/>
        </w:rPr>
        <w:t xml:space="preserve"> </w:t>
      </w:r>
      <w:r>
        <w:rPr>
          <w:i/>
          <w:iCs/>
        </w:rPr>
        <w:t xml:space="preserve">| Background: ~490 | §2.3.1: ~510 | §2.3.2: ~520 | §2.3.3: ~760 |</w:t>
      </w:r>
      <w:r>
        <w:rPr>
          <w:i/>
          <w:iCs/>
        </w:rPr>
        <w:t xml:space="preserve"> </w:t>
      </w:r>
      <w:r>
        <w:rPr>
          <w:i/>
          <w:iCs/>
        </w:rPr>
        <w:t xml:space="preserve">§2.3.4: ~760 | §2.3.5: ~510 | §2.3.6: ~320 | Conclusion: ~250</w:t>
      </w:r>
      <w:r>
        <w:t xml:space="preserve"> </w:t>
      </w:r>
      <w:r>
        <w:rPr>
          <w:i/>
          <w:iCs/>
        </w:rPr>
        <w:t xml:space="preserve">Total</w:t>
      </w:r>
      <w:r>
        <w:rPr>
          <w:i/>
          <w:iCs/>
        </w:rPr>
        <w:t xml:space="preserve"> </w:t>
      </w:r>
      <w:r>
        <w:rPr>
          <w:i/>
          <w:iCs/>
        </w:rPr>
        <w:t xml:space="preserve">Body Word Count: approximately 4,770 words (excluding title page, ToC,</w:t>
      </w:r>
      <w:r>
        <w:rPr>
          <w:i/>
          <w:iCs/>
        </w:rPr>
        <w:t xml:space="preserve"> </w:t>
      </w:r>
      <w:r>
        <w:rPr>
          <w:i/>
          <w:iCs/>
        </w:rPr>
        <w:t xml:space="preserve">and references)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End of Report</w:t>
      </w:r>
      <w:r>
        <w:t xml:space="preserve"> </w:t>
      </w:r>
      <w:r>
        <w:rPr>
          <w:i/>
          <w:iCs/>
        </w:rPr>
        <w:t xml:space="preserve">FIN7900 Individual Assignment, Hong Kong Baptist</w:t>
      </w:r>
      <w:r>
        <w:rPr>
          <w:i/>
          <w:iCs/>
        </w:rPr>
        <w:t xml:space="preserve"> </w:t>
      </w:r>
      <w:r>
        <w:rPr>
          <w:i/>
          <w:iCs/>
        </w:rPr>
        <w:t xml:space="preserve">University, School of Business</w:t>
      </w:r>
      <w:r>
        <w:t xml:space="preserve"> </w:t>
      </w:r>
      <w:r>
        <w:rPr>
          <w:i/>
          <w:iCs/>
        </w:rPr>
        <w:t xml:space="preserve">Academic Year 2025/2026</w:t>
      </w:r>
    </w:p>
    <w:p>
      <w:r>
        <w:pict>
          <v:rect style="width:0;height:1.5pt" o:hralign="center" o:hrstd="t" o:hr="t"/>
        </w:pict>
      </w:r>
    </w:p>
    <w:bookmarkEnd w:id="55"/>
    <w:bookmarkStart w:id="61" w:name="X270d019d39e83d6d09fbf3086f0492d0e734d4d"/>
    <w:p>
      <w:pPr>
        <w:pStyle w:val="Heading2"/>
      </w:pPr>
      <w:r>
        <w:t xml:space="preserve">12. Appendix: System Architecture and Technology Stack</w:t>
      </w:r>
    </w:p>
    <w:bookmarkStart w:id="59" w:name="system-architecture-diagram"/>
    <w:p>
      <w:pPr>
        <w:pStyle w:val="Heading3"/>
      </w:pPr>
      <w:r>
        <w:t xml:space="preserve">12.1 System Architecture Diagram</w:t>
      </w:r>
    </w:p>
    <w:p>
      <w:pPr>
        <w:pStyle w:val="CaptionedFigure"/>
      </w:pPr>
      <w:r>
        <w:drawing>
          <wp:inline>
            <wp:extent cx="5067300" cy="2879260"/>
            <wp:effectExtent b="0" l="0" r="0" t="0"/>
            <wp:docPr descr="System Architecture Diagram" title="" id="57" name="Picture"/>
            <a:graphic>
              <a:graphicData uri="http://schemas.openxmlformats.org/drawingml/2006/picture">
                <pic:pic>
                  <pic:nvPicPr>
                    <pic:cNvPr descr="system-architecture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0" cy="28792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System Architecture Diagram</w:t>
      </w:r>
    </w:p>
    <w:bookmarkEnd w:id="59"/>
    <w:bookmarkStart w:id="60" w:name="technology-stack-by-layer"/>
    <w:p>
      <w:pPr>
        <w:pStyle w:val="Heading3"/>
      </w:pPr>
      <w:r>
        <w:t xml:space="preserve">12.2 Technology Stack by Layer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Layer</w:t>
            </w:r>
          </w:p>
        </w:tc>
        <w:tc>
          <w:tcPr/>
          <w:p>
            <w:pPr>
              <w:pStyle w:val="Compact"/>
            </w:pPr>
            <w:r>
              <w:t xml:space="preserve">Technologies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Frontend</w:t>
            </w:r>
          </w:p>
        </w:tc>
        <w:tc>
          <w:tcPr/>
          <w:p>
            <w:pPr>
              <w:pStyle w:val="Compact"/>
            </w:pPr>
            <w:r>
              <w:t xml:space="preserve">React 18, TypeScript, Vite 5, Tailwind CSS</w:t>
            </w:r>
          </w:p>
        </w:tc>
        <w:tc>
          <w:tcPr/>
          <w:p>
            <w:pPr>
              <w:pStyle w:val="Compact"/>
            </w:pPr>
            <w:r>
              <w:t xml:space="preserve">Interactive learning interface and responsive UX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Visualisation &amp; UI</w:t>
            </w:r>
          </w:p>
        </w:tc>
        <w:tc>
          <w:tcPr/>
          <w:p>
            <w:pPr>
              <w:pStyle w:val="Compact"/>
            </w:pPr>
            <w:r>
              <w:t xml:space="preserve">Framer Motion, Recharts, Lucide React, clsx</w:t>
            </w:r>
          </w:p>
        </w:tc>
        <w:tc>
          <w:tcPr/>
          <w:p>
            <w:pPr>
              <w:pStyle w:val="Compact"/>
            </w:pPr>
            <w:r>
              <w:t xml:space="preserve">Animations, charts, icons, and UI state styling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Backend</w:t>
            </w:r>
          </w:p>
        </w:tc>
        <w:tc>
          <w:tcPr/>
          <w:p>
            <w:pPr>
              <w:pStyle w:val="Compact"/>
            </w:pPr>
            <w:r>
              <w:t xml:space="preserve">Node.js, Express.js, CORS</w:t>
            </w:r>
          </w:p>
        </w:tc>
        <w:tc>
          <w:tcPr/>
          <w:p>
            <w:pPr>
              <w:pStyle w:val="Compact"/>
            </w:pPr>
            <w:r>
              <w:t xml:space="preserve">API routing, business logic, and secure request handling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Authentication &amp; Security</w:t>
            </w:r>
          </w:p>
        </w:tc>
        <w:tc>
          <w:tcPr/>
          <w:p>
            <w:pPr>
              <w:pStyle w:val="Compact"/>
            </w:pPr>
            <w:r>
              <w:t xml:space="preserve">JWT (</w:t>
            </w:r>
            <w:r>
              <w:rPr>
                <w:rStyle w:val="VerbatimChar"/>
              </w:rPr>
              <w:t xml:space="preserve">jsonwebtoken</w:t>
            </w:r>
            <w:r>
              <w:t xml:space="preserve">),</w:t>
            </w:r>
            <w:r>
              <w:t xml:space="preserve"> </w:t>
            </w:r>
            <w:r>
              <w:rPr>
                <w:rStyle w:val="VerbatimChar"/>
              </w:rPr>
              <w:t xml:space="preserve">bcryptjs</w:t>
            </w:r>
          </w:p>
        </w:tc>
        <w:tc>
          <w:tcPr/>
          <w:p>
            <w:pPr>
              <w:pStyle w:val="Compact"/>
            </w:pPr>
            <w:r>
              <w:t xml:space="preserve">Session auth and password hashing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Persistence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mysql2</w:t>
            </w:r>
            <w:r>
              <w:t xml:space="preserve"> </w:t>
            </w:r>
            <w:r>
              <w:t xml:space="preserve">(MySQL), local JSON fallback stores</w:t>
            </w:r>
          </w:p>
        </w:tc>
        <w:tc>
          <w:tcPr/>
          <w:p>
            <w:pPr>
              <w:pStyle w:val="Compact"/>
            </w:pPr>
            <w:r>
              <w:t xml:space="preserve">Reliable storage with graceful fallback on cPanel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Reporting &amp; Export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xlsx</w:t>
            </w:r>
          </w:p>
        </w:tc>
        <w:tc>
          <w:tcPr/>
          <w:p>
            <w:pPr>
              <w:pStyle w:val="Compact"/>
            </w:pPr>
            <w:r>
              <w:t xml:space="preserve">Admin export of feedback and data reports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Deployment</w:t>
            </w:r>
          </w:p>
        </w:tc>
        <w:tc>
          <w:tcPr/>
          <w:p>
            <w:pPr>
              <w:pStyle w:val="Compact"/>
            </w:pPr>
            <w:r>
              <w:t xml:space="preserve">cPanel Node app hosting</w:t>
            </w:r>
          </w:p>
        </w:tc>
        <w:tc>
          <w:tcPr/>
          <w:p>
            <w:pPr>
              <w:pStyle w:val="Compact"/>
            </w:pPr>
            <w:r>
              <w:t xml:space="preserve">Production hosting and runtime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Version Control</w:t>
            </w:r>
          </w:p>
        </w:tc>
        <w:tc>
          <w:tcPr/>
          <w:p>
            <w:pPr>
              <w:pStyle w:val="Compact"/>
            </w:pPr>
            <w:r>
              <w:t xml:space="preserve">Git, GitHub</w:t>
            </w:r>
          </w:p>
        </w:tc>
        <w:tc>
          <w:tcPr/>
          <w:p>
            <w:pPr>
              <w:pStyle w:val="Compact"/>
            </w:pPr>
            <w:r>
              <w:t xml:space="preserve">Source control and deployment traceability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Submission-ready document prepared from the project’s report-page</w:t>
      </w:r>
      <w:r>
        <w:rPr>
          <w:i/>
          <w:iCs/>
        </w:rPr>
        <w:t xml:space="preserve"> </w:t>
      </w:r>
      <w:r>
        <w:rPr>
          <w:i/>
          <w:iCs/>
        </w:rPr>
        <w:t xml:space="preserve">content and expanded with explicit rubric alignment for grading</w:t>
      </w:r>
      <w:r>
        <w:rPr>
          <w:i/>
          <w:iCs/>
        </w:rPr>
        <w:t xml:space="preserve"> </w:t>
      </w:r>
      <w:r>
        <w:rPr>
          <w:i/>
          <w:iCs/>
        </w:rPr>
        <w:t xml:space="preserve">transparency.</w:t>
      </w:r>
    </w:p>
    <w:bookmarkEnd w:id="60"/>
    <w:bookmarkEnd w:id="61"/>
    <w:bookmarkEnd w:id="6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cs="Times New Roman" w:eastAsia="Times New Roman" w:hAnsi="Times New Roman"/>
        <w:sz w:val="24"/>
        <w:szCs w:val="24"/>
        <w:lang w:bidi="ar-SA" w:eastAsia="zh-CN" w:val="en-US"/>
      </w:rPr>
    </w:rPrDefault>
    <w:pPrDefault>
      <w:pPr>
        <w:spacing w:after="200"/>
        <w:jc w:val="both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jc w:val="both"/>
    </w:pPr>
    <w:rPr>
      <w:rFonts w:ascii="Times New Roman" w:cs="Times New Roman" w:eastAsia="Times New Roman" w:hAnsi="Times New Roman"/>
      <w:sz w:val="24"/>
      <w:szCs w:val="24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56" Target="media/rId5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2026-03-08T09:57:17Z</dcterms:created>
  <dcterms:modified xsi:type="dcterms:W3CDTF">2026-03-08T09:57:17Z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