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7C3E" w14:textId="26862A2D" w:rsidR="00AC63BC" w:rsidRDefault="00000000">
      <w:pPr>
        <w:spacing w:after="60"/>
      </w:pPr>
      <w:r>
        <w:rPr>
          <w:b/>
          <w:bCs/>
          <w:color w:val="1F4E79"/>
          <w:sz w:val="34"/>
          <w:szCs w:val="34"/>
        </w:rPr>
        <w:t>GNN Dissertation — Topic Brief</w:t>
      </w:r>
    </w:p>
    <w:p w14:paraId="671693F8" w14:textId="5A8F829E" w:rsidR="00AC63BC" w:rsidRDefault="00000000">
      <w:pPr>
        <w:pStyle w:val="Heading1"/>
        <w:keepNext/>
        <w:pBdr>
          <w:bottom w:val="single" w:sz="6" w:space="2" w:color="BFBFBF"/>
        </w:pBdr>
        <w:spacing w:before="280" w:after="120"/>
      </w:pPr>
      <w:r>
        <w:t>1. Proposed topic</w:t>
      </w:r>
    </w:p>
    <w:p w14:paraId="367EE53E" w14:textId="77777777" w:rsidR="00293F71" w:rsidRDefault="00293F71">
      <w:pPr>
        <w:spacing w:after="120" w:line="276" w:lineRule="auto"/>
        <w:rPr>
          <w:b/>
          <w:bCs/>
        </w:rPr>
      </w:pPr>
      <w:r>
        <w:rPr>
          <w:b/>
          <w:bCs/>
        </w:rPr>
        <w:t>Question raised: Do brain-GNN explanations find the disease signal, or a scanner-site shortcut?</w:t>
      </w:r>
    </w:p>
    <w:p w14:paraId="68377DF6" w14:textId="16507557" w:rsidR="00AC63BC" w:rsidRDefault="00000000">
      <w:pPr>
        <w:spacing w:after="120" w:line="276" w:lineRule="auto"/>
      </w:pPr>
      <w:r>
        <w:t xml:space="preserve">I </w:t>
      </w:r>
      <w:r w:rsidR="00293F71">
        <w:t xml:space="preserve">plan to </w:t>
      </w:r>
      <w:r>
        <w:t>propose a benchmark that plants known connectivity changes into real healthy connectomes (open ABIDE data), so explanations can be checked against an exact correct answer, plus a new GNN (working name DecoyGuard) trained to ignore site-like shortcuts.</w:t>
      </w:r>
    </w:p>
    <w:p w14:paraId="33E843A6" w14:textId="77777777" w:rsidR="00AC63BC" w:rsidRDefault="00000000">
      <w:pPr>
        <w:pStyle w:val="Heading1"/>
        <w:keepNext/>
        <w:pBdr>
          <w:bottom w:val="single" w:sz="6" w:space="2" w:color="BFBFBF"/>
        </w:pBdr>
        <w:spacing w:before="280" w:after="120"/>
      </w:pPr>
      <w:r>
        <w:t>2. Earlier approaches and why they failed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4826"/>
      </w:tblGrid>
      <w:tr w:rsidR="00AC63BC" w14:paraId="3E1F9A3E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805C1" w14:textId="77777777" w:rsidR="00AC63BC" w:rsidRDefault="00000000">
            <w:r>
              <w:rPr>
                <w:b/>
                <w:bCs/>
                <w:sz w:val="19"/>
                <w:szCs w:val="19"/>
              </w:rPr>
              <w:t>Earlier direction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19DC5" w14:textId="77777777" w:rsidR="00AC63BC" w:rsidRDefault="00000000">
            <w:r>
              <w:rPr>
                <w:b/>
                <w:bCs/>
                <w:sz w:val="19"/>
                <w:szCs w:val="19"/>
              </w:rPr>
              <w:t>Base paper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E74B1" w14:textId="77777777" w:rsidR="00AC63BC" w:rsidRDefault="00000000">
            <w:r>
              <w:rPr>
                <w:b/>
                <w:bCs/>
                <w:sz w:val="19"/>
                <w:szCs w:val="19"/>
              </w:rPr>
              <w:t>Reason it was dropped</w:t>
            </w:r>
          </w:p>
        </w:tc>
      </w:tr>
      <w:tr w:rsidR="00AC63BC" w14:paraId="2011D9F2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D2499" w14:textId="77777777" w:rsidR="00AC63BC" w:rsidRDefault="00000000">
            <w:r>
              <w:rPr>
                <w:b/>
                <w:bCs/>
                <w:sz w:val="19"/>
                <w:szCs w:val="19"/>
              </w:rPr>
              <w:t>Head-and-neck cancer PET/CT population graph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1E6E3" w14:textId="77777777" w:rsidR="00AC63BC" w:rsidRDefault="00000000">
            <w:r>
              <w:rPr>
                <w:sz w:val="19"/>
                <w:szCs w:val="19"/>
              </w:rPr>
              <w:t>Peng et al., BSPC 2024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35C1F" w14:textId="77777777" w:rsidR="00AC63BC" w:rsidRDefault="00000000">
            <w:r>
              <w:rPr>
                <w:sz w:val="19"/>
                <w:szCs w:val="19"/>
              </w:rPr>
              <w:t>TCIA data moved behind dbGaP approval. Pipeline ran only on synthetic data, where the GNN did not beat a Cox baseline (C-index 0.766 vs 0.773).</w:t>
            </w:r>
          </w:p>
        </w:tc>
      </w:tr>
      <w:tr w:rsidR="00AC63BC" w14:paraId="76EC0D6C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2D3BB" w14:textId="77777777" w:rsidR="00AC63BC" w:rsidRDefault="00000000">
            <w:r>
              <w:rPr>
                <w:b/>
                <w:bCs/>
                <w:sz w:val="19"/>
                <w:szCs w:val="19"/>
              </w:rPr>
              <w:t>Alzheimer's sMRI + PET population graph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19D54" w14:textId="77777777" w:rsidR="00AC63BC" w:rsidRDefault="00000000">
            <w:r>
              <w:rPr>
                <w:sz w:val="19"/>
                <w:szCs w:val="19"/>
              </w:rPr>
              <w:t>Zhang et al., CBM 2023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D64AE" w14:textId="77777777" w:rsidR="00AC63BC" w:rsidRDefault="00000000">
            <w:r>
              <w:rPr>
                <w:sz w:val="19"/>
                <w:szCs w:val="19"/>
              </w:rPr>
              <w:t>ADNI access needs a formal application and supervisor sign-off; timeline risk.</w:t>
            </w:r>
          </w:p>
        </w:tc>
      </w:tr>
      <w:tr w:rsidR="00AC63BC" w14:paraId="13401D21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BDA80" w14:textId="77777777" w:rsidR="00AC63BC" w:rsidRDefault="00000000">
            <w:r>
              <w:rPr>
                <w:b/>
                <w:bCs/>
                <w:sz w:val="19"/>
                <w:szCs w:val="19"/>
              </w:rPr>
              <w:t>Retinal vessel graph robustness benchmark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A4608" w14:textId="77777777" w:rsidR="00AC63BC" w:rsidRDefault="00000000">
            <w:r>
              <w:rPr>
                <w:sz w:val="19"/>
                <w:szCs w:val="19"/>
              </w:rPr>
              <w:t>Jalali et al. (VGA-Net), IET IP 2024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D591B" w14:textId="77777777" w:rsidR="00AC63BC" w:rsidRDefault="00000000">
            <w:r>
              <w:rPr>
                <w:sz w:val="19"/>
                <w:szCs w:val="19"/>
              </w:rPr>
              <w:t>Not blocked, but stalled: only evaluation metrics were implemented; contribution too thin.</w:t>
            </w:r>
          </w:p>
        </w:tc>
      </w:tr>
      <w:tr w:rsidR="00AC63BC" w14:paraId="339182D7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A36EF" w14:textId="77777777" w:rsidR="00AC63BC" w:rsidRDefault="00000000">
            <w:r>
              <w:rPr>
                <w:b/>
                <w:bCs/>
                <w:sz w:val="19"/>
                <w:szCs w:val="19"/>
              </w:rPr>
              <w:t>Depression fMRI (REST-meta-MDD)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A2E4A" w14:textId="77777777" w:rsidR="00AC63BC" w:rsidRDefault="00000000">
            <w:r>
              <w:rPr>
                <w:sz w:val="19"/>
                <w:szCs w:val="19"/>
              </w:rPr>
              <w:t>Qin et al., EBioMedicine 2022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EA0F3" w14:textId="77777777" w:rsidR="00AC63BC" w:rsidRDefault="00000000">
            <w:r>
              <w:rPr>
                <w:sz w:val="19"/>
                <w:szCs w:val="19"/>
              </w:rPr>
              <w:t>Archive locked until a signed PI agreement, annual reporting and consortium co-authorship.</w:t>
            </w:r>
          </w:p>
        </w:tc>
      </w:tr>
    </w:tbl>
    <w:p w14:paraId="70552F9E" w14:textId="77777777" w:rsidR="00AC63BC" w:rsidRDefault="00AC63BC">
      <w:pPr>
        <w:spacing w:after="80"/>
      </w:pPr>
    </w:p>
    <w:p w14:paraId="0F10C579" w14:textId="77777777" w:rsidR="00AC63BC" w:rsidRDefault="00000000">
      <w:pPr>
        <w:spacing w:after="120" w:line="276" w:lineRule="auto"/>
      </w:pPr>
      <w:r>
        <w:rPr>
          <w:b/>
          <w:bCs/>
        </w:rPr>
        <w:t xml:space="preserve">Common lesson: </w:t>
      </w:r>
      <w:r>
        <w:t>three of four directions stalled on data access, not on ideas, and the one I could run showed the GNN adding no value over a simple baseline.</w:t>
      </w:r>
    </w:p>
    <w:p w14:paraId="11747D37" w14:textId="77777777" w:rsidR="00AC63BC" w:rsidRDefault="00000000">
      <w:pPr>
        <w:pStyle w:val="Heading1"/>
        <w:keepNext/>
        <w:pBdr>
          <w:bottom w:val="single" w:sz="6" w:space="2" w:color="BFBFBF"/>
        </w:pBdr>
        <w:spacing w:before="280" w:after="120"/>
      </w:pPr>
      <w:r>
        <w:t>3. What led to the present topic</w:t>
      </w:r>
    </w:p>
    <w:p w14:paraId="3CF45AAE" w14:textId="77777777" w:rsidR="00AC63BC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Data risk had to go. </w:t>
      </w:r>
      <w:r>
        <w:t>ABIDE preprocessed is open, de-identified and needs no access agreement.</w:t>
      </w:r>
    </w:p>
    <w:p w14:paraId="0547ABCB" w14:textId="77777777" w:rsidR="00AC63BC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The field shows the same weakness I saw. </w:t>
      </w:r>
      <w:r>
        <w:t>Recent studies find GNNs often fail to beat simple models on connectome and population-graph data (Han et al. 2025; Mueller et al., TMLR 2024).</w:t>
      </w:r>
    </w:p>
    <w:p w14:paraId="29963169" w14:textId="77777777" w:rsidR="00AC63BC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If accuracy gains are doubtful, interpretability claims need testing. </w:t>
      </w:r>
      <w:r>
        <w:t>Brain-GNN papers rely on "interpretable biomarkers", but judge them only by agreement with prior literature.</w:t>
      </w:r>
    </w:p>
    <w:p w14:paraId="01F2587F" w14:textId="7DD3487A" w:rsidR="00AC63BC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Gap found. </w:t>
      </w:r>
      <w:r>
        <w:t>No work I found checks brain-GNN explanations against a known correct answer on real connectomes, or tests whether explainers expose site shortcuts. Explainer benchmarks with ground truth (GraphXAI, BAGEL) use synthetic or non-medical graphs; brain benchmarks (BrainGB) measure accuracy only</w:t>
      </w:r>
      <w:r w:rsidR="00293F71">
        <w:t>,</w:t>
      </w:r>
      <w:r>
        <w:t xml:space="preserve"> site-invariant methods (CIA-GCL, DIR, MetaExplainer) never test whether the selected subgraph is the correct one.</w:t>
      </w:r>
    </w:p>
    <w:p w14:paraId="4939C153" w14:textId="77777777" w:rsidR="00AC63BC" w:rsidRDefault="00000000">
      <w:pPr>
        <w:pStyle w:val="Heading1"/>
        <w:keepNext/>
        <w:pBdr>
          <w:bottom w:val="single" w:sz="6" w:space="2" w:color="BFBFBF"/>
        </w:pBdr>
        <w:spacing w:before="280" w:after="120"/>
      </w:pPr>
      <w:r>
        <w:t>4. Finalised topic and novelty</w:t>
      </w:r>
    </w:p>
    <w:p w14:paraId="47BA680B" w14:textId="500F35C7" w:rsidR="00AC63BC" w:rsidRDefault="00000000">
      <w:pPr>
        <w:spacing w:after="120" w:line="276" w:lineRule="auto"/>
      </w:pPr>
      <w:r>
        <w:rPr>
          <w:b/>
          <w:bCs/>
        </w:rPr>
        <w:t xml:space="preserve">New question. </w:t>
      </w:r>
      <w:r>
        <w:t xml:space="preserve">When a brain GNN highlights connections, are they the disease signal or a </w:t>
      </w:r>
      <w:r w:rsidR="00293F71">
        <w:t xml:space="preserve">scanner </w:t>
      </w:r>
      <w:r>
        <w:t>site artefact, and do current explainers reveal which?</w:t>
      </w:r>
    </w:p>
    <w:p w14:paraId="55364523" w14:textId="77777777" w:rsidR="00AC63BC" w:rsidRDefault="00000000">
      <w:pPr>
        <w:spacing w:after="120" w:line="276" w:lineRule="auto"/>
      </w:pPr>
      <w:r>
        <w:rPr>
          <w:b/>
          <w:bCs/>
        </w:rPr>
        <w:t xml:space="preserve">New benchmark (planted ground truth). </w:t>
      </w:r>
      <w:r>
        <w:t>Randomly split ABIDE healthy controls into fake "patients" and "controls"; inject a known connectivity change into the patients, so the correct explanation is known exactly. Separately inject a decoy site artefact that correlates with the label in training but not at test.</w:t>
      </w:r>
    </w:p>
    <w:p w14:paraId="1E073312" w14:textId="77777777" w:rsidR="00AC63BC" w:rsidRDefault="00000000">
      <w:pPr>
        <w:spacing w:after="120" w:line="276" w:lineRule="auto"/>
      </w:pPr>
      <w:r>
        <w:rPr>
          <w:b/>
          <w:bCs/>
        </w:rPr>
        <w:t xml:space="preserve">New method (DecoyGuard). </w:t>
      </w:r>
      <w:r>
        <w:t>Reuses the planting code during training: random decoys are added at known edges and a loss penalises explanation weight on them. Built on a GCN/GIN encoder with a learnable edge mask, a Yeo-7 network-level sparsity prior and a site-adversarial head.</w:t>
      </w:r>
    </w:p>
    <w:p w14:paraId="153F0DD6" w14:textId="77777777" w:rsidR="00AC63BC" w:rsidRDefault="00000000">
      <w:pPr>
        <w:spacing w:after="120" w:line="276" w:lineRule="auto"/>
      </w:pPr>
      <w:r>
        <w:rPr>
          <w:b/>
          <w:bCs/>
        </w:rPr>
        <w:lastRenderedPageBreak/>
        <w:t xml:space="preserve">Evaluation: </w:t>
      </w:r>
      <w:r>
        <w:t>AUPRC of planted-edge recovery (primary); fidelity, stability, decoy exposure and AUC (secondary). Compared against GCN, GAT, GIN, BrainGNN, a graph transformer and non-graph baselines (MLP, LR, RF); six explainers; random 5-fold and leave-site-out splits; 5 seeds × 5 folds with bootstrap CIs.</w:t>
      </w:r>
    </w:p>
    <w:p w14:paraId="2F028B7B" w14:textId="638C55DD" w:rsidR="00AC63BC" w:rsidRDefault="00000000">
      <w:pPr>
        <w:spacing w:after="120" w:line="276" w:lineRule="auto"/>
      </w:pPr>
      <w:r>
        <w:rPr>
          <w:b/>
          <w:bCs/>
        </w:rPr>
        <w:t xml:space="preserve">Novelty </w:t>
      </w:r>
      <w:r w:rsidR="00293F71">
        <w:rPr>
          <w:b/>
          <w:bCs/>
        </w:rPr>
        <w:t>score estimate</w:t>
      </w:r>
      <w:r>
        <w:rPr>
          <w:b/>
          <w:bCs/>
        </w:rPr>
        <w:t xml:space="preserve">: </w:t>
      </w:r>
      <w:r>
        <w:t>question and benchmark ~8/10; method alone ~6.5–7/10 (invariant-subgraph GNNs exist); combined ~8/10. To be re-checked against forward citations of GraphXAI, BrainGB, CI-GNN and BAGEL before writing.</w:t>
      </w:r>
    </w:p>
    <w:p w14:paraId="0FADC521" w14:textId="77777777" w:rsidR="00AC63BC" w:rsidRDefault="00000000">
      <w:pPr>
        <w:pStyle w:val="Heading1"/>
        <w:keepNext/>
        <w:pBdr>
          <w:bottom w:val="single" w:sz="6" w:space="2" w:color="BFBFBF"/>
        </w:pBdr>
        <w:spacing w:before="280" w:after="120"/>
      </w:pPr>
      <w:r>
        <w:t>5. Data</w:t>
      </w:r>
    </w:p>
    <w:p w14:paraId="1870357E" w14:textId="77777777" w:rsidR="00AC63BC" w:rsidRDefault="00000000">
      <w:pPr>
        <w:spacing w:after="120" w:line="276" w:lineRule="auto"/>
      </w:pPr>
      <w:r>
        <w:t>The data is fully open and de-identified. It can be downloaded today with no access agreement, which fixes the problem that stopped my earlier directions.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C63BC" w14:paraId="4820314A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0E696" w14:textId="77777777" w:rsidR="00AC63BC" w:rsidRDefault="00000000">
            <w:r>
              <w:rPr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ACABB" w14:textId="77777777" w:rsidR="00AC63BC" w:rsidRDefault="00000000">
            <w:r>
              <w:rPr>
                <w:b/>
                <w:bCs/>
                <w:sz w:val="19"/>
                <w:szCs w:val="19"/>
              </w:rPr>
              <w:t>Details</w:t>
            </w:r>
          </w:p>
        </w:tc>
      </w:tr>
      <w:tr w:rsidR="00AC63BC" w14:paraId="1ACE47DC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FB70E" w14:textId="77777777" w:rsidR="00AC63BC" w:rsidRDefault="00000000">
            <w:r>
              <w:rPr>
                <w:b/>
                <w:bCs/>
                <w:sz w:val="19"/>
                <w:szCs w:val="19"/>
              </w:rPr>
              <w:t>Main dataset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E5F63" w14:textId="77777777" w:rsidR="00AC63BC" w:rsidRDefault="00000000">
            <w:r>
              <w:rPr>
                <w:sz w:val="19"/>
                <w:szCs w:val="19"/>
              </w:rPr>
              <w:t>ABIDE I (Autism Brain Imaging Data Exchange), resting-state fMRI, released through the Preprocessed Connectomes Project (PCP)</w:t>
            </w:r>
          </w:p>
        </w:tc>
      </w:tr>
      <w:tr w:rsidR="00AC63BC" w14:paraId="1A7332C1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7962A" w14:textId="77777777" w:rsidR="00AC63BC" w:rsidRDefault="00000000">
            <w:r>
              <w:rPr>
                <w:b/>
                <w:bCs/>
                <w:sz w:val="19"/>
                <w:szCs w:val="19"/>
              </w:rPr>
              <w:t>Size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8C1E5" w14:textId="77777777" w:rsidR="00AC63BC" w:rsidRDefault="00000000">
            <w:r>
              <w:rPr>
                <w:sz w:val="19"/>
                <w:szCs w:val="19"/>
              </w:rPr>
              <w:t>1,112 subjects scanned at 17 international sites. About 871 pass the standard quality control (403 autism, 468 typical controls), with 20 site labels</w:t>
            </w:r>
          </w:p>
        </w:tc>
      </w:tr>
      <w:tr w:rsidR="00AC63BC" w14:paraId="00A2EA2D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ED14E" w14:textId="77777777" w:rsidR="00AC63BC" w:rsidRDefault="00000000">
            <w:r>
              <w:rPr>
                <w:b/>
                <w:bCs/>
                <w:sz w:val="19"/>
                <w:szCs w:val="19"/>
              </w:rPr>
              <w:t>Access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08A35" w14:textId="77777777" w:rsidR="00AC63BC" w:rsidRDefault="00000000">
            <w:r>
              <w:rPr>
                <w:sz w:val="19"/>
                <w:szCs w:val="19"/>
              </w:rPr>
              <w:t>Open download via nilearn (fetch_abide_pcp) or the PCP S3 bucket; no application, data-use agreement or co-authorship condition</w:t>
            </w:r>
          </w:p>
        </w:tc>
      </w:tr>
      <w:tr w:rsidR="00AC63BC" w14:paraId="2CBE70A9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E6870" w14:textId="77777777" w:rsidR="00AC63BC" w:rsidRDefault="00000000">
            <w:r>
              <w:rPr>
                <w:b/>
                <w:bCs/>
                <w:sz w:val="19"/>
                <w:szCs w:val="19"/>
              </w:rPr>
              <w:t>Preprocessing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94AFC" w14:textId="77777777" w:rsidR="00AC63BC" w:rsidRDefault="00000000">
            <w:r>
              <w:rPr>
                <w:sz w:val="19"/>
                <w:szCs w:val="19"/>
              </w:rPr>
              <w:t>PCP pipeline (C-PAC), band-pass filtered; ROI time series supplied ready to use, so no raw fMRI processing is needed on my laptop</w:t>
            </w:r>
          </w:p>
        </w:tc>
      </w:tr>
      <w:tr w:rsidR="00AC63BC" w14:paraId="670E87D2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4C60C" w14:textId="77777777" w:rsidR="00AC63BC" w:rsidRDefault="00000000">
            <w:r>
              <w:rPr>
                <w:b/>
                <w:bCs/>
                <w:sz w:val="19"/>
                <w:szCs w:val="19"/>
              </w:rPr>
              <w:t>Brain graph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E707E" w14:textId="77777777" w:rsidR="00AC63BC" w:rsidRDefault="00000000">
            <w:r>
              <w:rPr>
                <w:sz w:val="19"/>
                <w:szCs w:val="19"/>
              </w:rPr>
              <w:t>Nodes = 200 regions of the CC200 atlas (Craddock 2012); edges = Pearson correlation between region time series, sparsified by k-NN or threshold. AAL (116 regions) used once as a sensitivity check</w:t>
            </w:r>
          </w:p>
        </w:tc>
      </w:tr>
      <w:tr w:rsidR="00AC63BC" w14:paraId="0E87BD11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D76FB" w14:textId="77777777" w:rsidR="00AC63BC" w:rsidRDefault="00000000">
            <w:r>
              <w:rPr>
                <w:b/>
                <w:bCs/>
                <w:sz w:val="19"/>
                <w:szCs w:val="19"/>
              </w:rPr>
              <w:t>Use in the benchmark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A400A" w14:textId="77777777" w:rsidR="00AC63BC" w:rsidRDefault="00000000">
            <w:r>
              <w:rPr>
                <w:sz w:val="19"/>
                <w:szCs w:val="19"/>
              </w:rPr>
              <w:t>Only typical controls (~468) are used for planting. They are split at random into fake patients and controls; known edge changes and site decoys are injected, so the true answer is known</w:t>
            </w:r>
          </w:p>
        </w:tc>
      </w:tr>
      <w:tr w:rsidR="00AC63BC" w14:paraId="349A670F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CEB5A" w14:textId="77777777" w:rsidR="00AC63BC" w:rsidRDefault="00000000">
            <w:r>
              <w:rPr>
                <w:b/>
                <w:bCs/>
                <w:sz w:val="19"/>
                <w:szCs w:val="19"/>
              </w:rPr>
              <w:t>Use with real labels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D9BAF" w14:textId="77777777" w:rsidR="00AC63BC" w:rsidRDefault="00000000">
            <w:r>
              <w:rPr>
                <w:sz w:val="19"/>
                <w:szCs w:val="19"/>
              </w:rPr>
              <w:t>Full autism vs control set for fallback F3 (real-shortcut audit) and as an optional real-label check of DecoyGuard</w:t>
            </w:r>
          </w:p>
        </w:tc>
      </w:tr>
      <w:tr w:rsidR="00AC63BC" w14:paraId="5BED643E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0862A" w14:textId="77777777" w:rsidR="00AC63BC" w:rsidRDefault="00000000">
            <w:r>
              <w:rPr>
                <w:b/>
                <w:bCs/>
                <w:sz w:val="19"/>
                <w:szCs w:val="19"/>
              </w:rPr>
              <w:t>Site information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7B952" w14:textId="77777777" w:rsidR="00AC63BC" w:rsidRDefault="00000000">
            <w:r>
              <w:rPr>
                <w:sz w:val="19"/>
                <w:szCs w:val="19"/>
              </w:rPr>
              <w:t>Scanner site is recorded for every subject. It drives the leave-site-out splits, the site-adversarial head and the decoy design</w:t>
            </w:r>
          </w:p>
        </w:tc>
      </w:tr>
      <w:tr w:rsidR="00AC63BC" w14:paraId="26F54E2D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B761D" w14:textId="77777777" w:rsidR="00AC63BC" w:rsidRDefault="00000000">
            <w:r>
              <w:rPr>
                <w:b/>
                <w:bCs/>
                <w:sz w:val="19"/>
                <w:szCs w:val="19"/>
              </w:rPr>
              <w:t>Replication dataset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F1D56" w14:textId="77777777" w:rsidR="00AC63BC" w:rsidRDefault="00000000">
            <w:r>
              <w:rPr>
                <w:sz w:val="19"/>
                <w:szCs w:val="19"/>
              </w:rPr>
              <w:t>ADHD-200 (open, about 970 subjects, 8 sites, same PCP preprocessing); controls used to repeat the benchmark. HCP is the backup if ABIDE fails (fallback F5)</w:t>
            </w:r>
          </w:p>
        </w:tc>
      </w:tr>
      <w:tr w:rsidR="00AC63BC" w14:paraId="5B38D7E8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4D756" w14:textId="77777777" w:rsidR="00AC63BC" w:rsidRDefault="00000000">
            <w:r>
              <w:rPr>
                <w:b/>
                <w:bCs/>
                <w:sz w:val="19"/>
                <w:szCs w:val="19"/>
              </w:rPr>
              <w:t>Compute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5C08E" w14:textId="77777777" w:rsidR="00AC63BC" w:rsidRDefault="00000000">
            <w:r>
              <w:rPr>
                <w:sz w:val="19"/>
                <w:szCs w:val="19"/>
              </w:rPr>
              <w:t>About 870 graphs × 200 nodes; fits on an RTX 4060 laptop GPU (8 GB)</w:t>
            </w:r>
          </w:p>
        </w:tc>
      </w:tr>
      <w:tr w:rsidR="00AC63BC" w14:paraId="546200FA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FD4B2" w14:textId="77777777" w:rsidR="00AC63BC" w:rsidRDefault="00000000">
            <w:r>
              <w:rPr>
                <w:b/>
                <w:bCs/>
                <w:sz w:val="19"/>
                <w:szCs w:val="19"/>
              </w:rPr>
              <w:t>Ethics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F7C58" w14:textId="77777777" w:rsidR="00AC63BC" w:rsidRDefault="00000000">
            <w:r>
              <w:rPr>
                <w:sz w:val="19"/>
                <w:szCs w:val="19"/>
              </w:rPr>
              <w:t>Public, de-identified data released under the consortia's open-sharing terms; I still need to confirm whether Amrita requires an exemption note</w:t>
            </w:r>
          </w:p>
        </w:tc>
      </w:tr>
    </w:tbl>
    <w:p w14:paraId="4ECC5BD3" w14:textId="77777777" w:rsidR="00AC63BC" w:rsidRDefault="00AC63BC">
      <w:pPr>
        <w:spacing w:after="80"/>
      </w:pPr>
    </w:p>
    <w:p w14:paraId="10EB81CD" w14:textId="77777777" w:rsidR="00AC63BC" w:rsidRDefault="00000000">
      <w:pPr>
        <w:spacing w:after="120" w:line="276" w:lineRule="auto"/>
      </w:pPr>
      <w:r>
        <w:rPr>
          <w:b/>
          <w:bCs/>
        </w:rPr>
        <w:t xml:space="preserve">Note: </w:t>
      </w:r>
      <w:r>
        <w:rPr>
          <w:i/>
          <w:iCs/>
        </w:rPr>
        <w:t>the subject counts are the commonly reported PCP figures. I will confirm the exact numbers after download and quality control.</w:t>
      </w:r>
    </w:p>
    <w:p w14:paraId="02C3A009" w14:textId="77777777" w:rsidR="00AA7E1B" w:rsidRDefault="00AA7E1B">
      <w:pPr>
        <w:spacing w:after="120" w:line="276" w:lineRule="auto"/>
      </w:pPr>
    </w:p>
    <w:p w14:paraId="7D1514F2" w14:textId="77777777" w:rsidR="00AA7E1B" w:rsidRDefault="00AA7E1B">
      <w:pPr>
        <w:spacing w:after="120" w:line="276" w:lineRule="auto"/>
      </w:pPr>
    </w:p>
    <w:p w14:paraId="1DA17D32" w14:textId="77777777" w:rsidR="00AA7E1B" w:rsidRDefault="00AA7E1B">
      <w:pPr>
        <w:spacing w:after="120" w:line="276" w:lineRule="auto"/>
      </w:pPr>
    </w:p>
    <w:p w14:paraId="31E0AB39" w14:textId="77777777" w:rsidR="00AA7E1B" w:rsidRDefault="00AA7E1B">
      <w:pPr>
        <w:spacing w:after="120" w:line="276" w:lineRule="auto"/>
      </w:pPr>
    </w:p>
    <w:p w14:paraId="35DF4846" w14:textId="77777777" w:rsidR="00AC63BC" w:rsidRDefault="00000000">
      <w:pPr>
        <w:pStyle w:val="Heading1"/>
        <w:keepNext/>
        <w:pBdr>
          <w:bottom w:val="single" w:sz="6" w:space="2" w:color="BFBFBF"/>
        </w:pBdr>
        <w:spacing w:before="280" w:after="120"/>
      </w:pPr>
      <w:r>
        <w:lastRenderedPageBreak/>
        <w:t>6. Available options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400"/>
        <w:gridCol w:w="1400"/>
        <w:gridCol w:w="2726"/>
      </w:tblGrid>
      <w:tr w:rsidR="00AC63BC" w14:paraId="733697CF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4851D" w14:textId="77777777" w:rsidR="00AC63BC" w:rsidRDefault="00000000">
            <w:r>
              <w:rPr>
                <w:b/>
                <w:bCs/>
                <w:sz w:val="19"/>
                <w:szCs w:val="19"/>
              </w:rPr>
              <w:t>Option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381A7" w14:textId="77777777" w:rsidR="00AC63BC" w:rsidRDefault="00000000">
            <w:r>
              <w:rPr>
                <w:b/>
                <w:bCs/>
                <w:sz w:val="19"/>
                <w:szCs w:val="19"/>
              </w:rPr>
              <w:t>Paper type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1AE86" w14:textId="77777777" w:rsidR="00AC63BC" w:rsidRDefault="00000000">
            <w:r>
              <w:rPr>
                <w:b/>
                <w:bCs/>
                <w:sz w:val="19"/>
                <w:szCs w:val="19"/>
              </w:rPr>
              <w:t>Novelty (est.)</w:t>
            </w:r>
          </w:p>
        </w:tc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10FC4" w14:textId="77777777" w:rsidR="00AC63BC" w:rsidRDefault="00000000">
            <w:r>
              <w:rPr>
                <w:b/>
                <w:bCs/>
                <w:sz w:val="19"/>
                <w:szCs w:val="19"/>
              </w:rPr>
              <w:t>Risk</w:t>
            </w:r>
          </w:p>
        </w:tc>
      </w:tr>
      <w:tr w:rsidR="00AC63BC" w14:paraId="0BF67E32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AD697" w14:textId="77777777" w:rsidR="00AC63BC" w:rsidRDefault="00000000">
            <w:r>
              <w:rPr>
                <w:b/>
                <w:bCs/>
                <w:sz w:val="19"/>
                <w:szCs w:val="19"/>
              </w:rPr>
              <w:t>O2 (recommended)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71207" w14:textId="77777777" w:rsidR="00AC63BC" w:rsidRDefault="00000000">
            <w:r>
              <w:rPr>
                <w:sz w:val="19"/>
                <w:szCs w:val="19"/>
              </w:rPr>
              <w:t>Benchmark + DecoyGuard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B9912" w14:textId="77777777" w:rsidR="00AC63BC" w:rsidRDefault="00000000">
            <w:r>
              <w:rPr>
                <w:sz w:val="19"/>
                <w:szCs w:val="19"/>
              </w:rPr>
              <w:t>~8</w:t>
            </w:r>
          </w:p>
        </w:tc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0B33" w14:textId="404AEC18" w:rsidR="00AC63BC" w:rsidRDefault="00000000">
            <w:r>
              <w:rPr>
                <w:sz w:val="19"/>
                <w:szCs w:val="19"/>
              </w:rPr>
              <w:t>Medium: method may not win</w:t>
            </w:r>
            <w:r w:rsidR="001B4C42">
              <w:rPr>
                <w:sz w:val="19"/>
                <w:szCs w:val="19"/>
              </w:rPr>
              <w:t xml:space="preserve"> over the other baselines</w:t>
            </w:r>
          </w:p>
        </w:tc>
      </w:tr>
      <w:tr w:rsidR="00AC63BC" w14:paraId="24E7ED00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3EF67" w14:textId="77777777" w:rsidR="00AC63BC" w:rsidRDefault="00000000">
            <w:r>
              <w:rPr>
                <w:b/>
                <w:bCs/>
                <w:sz w:val="19"/>
                <w:szCs w:val="19"/>
              </w:rPr>
              <w:t>O1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3EE7A" w14:textId="77777777" w:rsidR="00AC63BC" w:rsidRDefault="00000000">
            <w:r>
              <w:rPr>
                <w:sz w:val="19"/>
                <w:szCs w:val="19"/>
              </w:rPr>
              <w:t>Benchmark only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090AC" w14:textId="77777777" w:rsidR="00AC63BC" w:rsidRDefault="00000000">
            <w:r>
              <w:rPr>
                <w:sz w:val="19"/>
                <w:szCs w:val="19"/>
              </w:rPr>
              <w:t>~7.5</w:t>
            </w:r>
          </w:p>
        </w:tc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ABB81" w14:textId="77777777" w:rsidR="00AC63BC" w:rsidRDefault="00000000">
            <w:r>
              <w:rPr>
                <w:sz w:val="19"/>
                <w:szCs w:val="19"/>
              </w:rPr>
              <w:t>Low: any result is a finding</w:t>
            </w:r>
          </w:p>
        </w:tc>
      </w:tr>
      <w:tr w:rsidR="00AC63BC" w14:paraId="7D082D7F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BE81F" w14:textId="77777777" w:rsidR="00AC63BC" w:rsidRDefault="00000000">
            <w:r>
              <w:rPr>
                <w:b/>
                <w:bCs/>
                <w:sz w:val="19"/>
                <w:szCs w:val="19"/>
              </w:rPr>
              <w:t>O3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4E645" w14:textId="77777777" w:rsidR="00AC63BC" w:rsidRDefault="00000000">
            <w:r>
              <w:rPr>
                <w:sz w:val="19"/>
                <w:szCs w:val="19"/>
              </w:rPr>
              <w:t>Method first; benchmark only as its evaluation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2CC64" w14:textId="77777777" w:rsidR="00AC63BC" w:rsidRDefault="00000000">
            <w:r>
              <w:rPr>
                <w:sz w:val="19"/>
                <w:szCs w:val="19"/>
              </w:rPr>
              <w:t>~7</w:t>
            </w:r>
          </w:p>
        </w:tc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804AD" w14:textId="77777777" w:rsidR="00AC63BC" w:rsidRDefault="00000000">
            <w:r>
              <w:rPr>
                <w:sz w:val="19"/>
                <w:szCs w:val="19"/>
              </w:rPr>
              <w:t>High: judged on accuracy vs CIA-GCL, MetaExplainer</w:t>
            </w:r>
          </w:p>
        </w:tc>
      </w:tr>
      <w:tr w:rsidR="00AC63BC" w14:paraId="7D03EA8D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65A5F" w14:textId="77777777" w:rsidR="00AC63BC" w:rsidRDefault="00000000">
            <w:r>
              <w:rPr>
                <w:b/>
                <w:bCs/>
                <w:sz w:val="19"/>
                <w:szCs w:val="19"/>
              </w:rPr>
              <w:t>O4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5C473" w14:textId="77777777" w:rsidR="00AC63BC" w:rsidRDefault="00000000">
            <w:r>
              <w:rPr>
                <w:sz w:val="19"/>
                <w:szCs w:val="19"/>
              </w:rPr>
              <w:t>Real ABIDE autism explanations, no planting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E7D18" w14:textId="77777777" w:rsidR="00AC63BC" w:rsidRDefault="00000000">
            <w:r>
              <w:rPr>
                <w:sz w:val="19"/>
                <w:szCs w:val="19"/>
              </w:rPr>
              <w:t>~5</w:t>
            </w:r>
          </w:p>
        </w:tc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1CB5F" w14:textId="77777777" w:rsidR="00AC63BC" w:rsidRDefault="00000000">
            <w:r>
              <w:rPr>
                <w:sz w:val="19"/>
                <w:szCs w:val="19"/>
              </w:rPr>
              <w:t>Low, but crowded</w:t>
            </w:r>
          </w:p>
        </w:tc>
      </w:tr>
    </w:tbl>
    <w:p w14:paraId="1A4A2AEC" w14:textId="77777777" w:rsidR="00AC63BC" w:rsidRDefault="00000000">
      <w:pPr>
        <w:pStyle w:val="Heading1"/>
        <w:keepNext/>
        <w:pBdr>
          <w:bottom w:val="single" w:sz="6" w:space="2" w:color="BFBFBF"/>
        </w:pBdr>
        <w:spacing w:before="280" w:after="120"/>
      </w:pPr>
      <w:r>
        <w:t>7. Fallbacks</w:t>
      </w:r>
    </w:p>
    <w:p w14:paraId="2A5D516A" w14:textId="15503E72" w:rsidR="00AC63BC" w:rsidRDefault="00000000">
      <w:pPr>
        <w:spacing w:after="120" w:line="276" w:lineRule="auto"/>
      </w:pPr>
      <w:r>
        <w:t xml:space="preserve">All fallbacks stay in the same topic and reuse the same data and code.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700"/>
        <w:gridCol w:w="4626"/>
      </w:tblGrid>
      <w:tr w:rsidR="00AC63BC" w14:paraId="35ABC6EE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91364" w14:textId="77777777" w:rsidR="00AC63BC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9D2E5" w14:textId="77777777" w:rsidR="00AC63BC" w:rsidRDefault="00000000"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C86C9" w14:textId="77777777" w:rsidR="00AC63BC" w:rsidRDefault="00000000">
            <w:r>
              <w:rPr>
                <w:b/>
                <w:bCs/>
                <w:sz w:val="19"/>
                <w:szCs w:val="19"/>
              </w:rPr>
              <w:t>Fallback</w:t>
            </w:r>
          </w:p>
        </w:tc>
      </w:tr>
      <w:tr w:rsidR="00AC63BC" w14:paraId="00021E3E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B603F" w14:textId="77777777" w:rsidR="00AC63BC" w:rsidRDefault="00000000">
            <w:r>
              <w:rPr>
                <w:b/>
                <w:bCs/>
                <w:sz w:val="19"/>
                <w:szCs w:val="19"/>
              </w:rPr>
              <w:t>F1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804D0" w14:textId="1E295EF9" w:rsidR="00AC63BC" w:rsidRDefault="00000000">
            <w:r>
              <w:rPr>
                <w:sz w:val="19"/>
                <w:szCs w:val="19"/>
              </w:rPr>
              <w:t>DecoyGuard does not beat baselines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D74AE" w14:textId="77777777" w:rsidR="00AC63BC" w:rsidRDefault="00000000">
            <w:r>
              <w:rPr>
                <w:sz w:val="19"/>
                <w:szCs w:val="19"/>
              </w:rPr>
              <w:t>Publish O1; report DecoyGuard as a tested negative result</w:t>
            </w:r>
          </w:p>
        </w:tc>
      </w:tr>
      <w:tr w:rsidR="00AC63BC" w14:paraId="67A84E54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EDAA1" w14:textId="77777777" w:rsidR="00AC63BC" w:rsidRDefault="00000000">
            <w:r>
              <w:rPr>
                <w:b/>
                <w:bCs/>
                <w:sz w:val="19"/>
                <w:szCs w:val="19"/>
              </w:rPr>
              <w:t>F2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655D7" w14:textId="342D4761" w:rsidR="00AC63BC" w:rsidRDefault="00000000">
            <w:r>
              <w:rPr>
                <w:sz w:val="19"/>
                <w:szCs w:val="19"/>
              </w:rPr>
              <w:t xml:space="preserve">No explainer recovers even a large planted effect 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7EA67" w14:textId="77777777" w:rsidR="00AC63BC" w:rsidRDefault="00000000">
            <w:r>
              <w:rPr>
                <w:sz w:val="19"/>
                <w:szCs w:val="19"/>
              </w:rPr>
              <w:t>Explanation trust score: predict per subject whether an explanation is trustworthy from agreement across explainers and seeds</w:t>
            </w:r>
          </w:p>
        </w:tc>
      </w:tr>
      <w:tr w:rsidR="00AC63BC" w14:paraId="4003CBB6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1CF59" w14:textId="77777777" w:rsidR="00AC63BC" w:rsidRDefault="00000000">
            <w:r>
              <w:rPr>
                <w:b/>
                <w:bCs/>
                <w:sz w:val="19"/>
                <w:szCs w:val="19"/>
              </w:rPr>
              <w:t>F3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C5337" w14:textId="77777777" w:rsidR="00AC63BC" w:rsidRDefault="00000000">
            <w:r>
              <w:rPr>
                <w:sz w:val="19"/>
                <w:szCs w:val="19"/>
              </w:rPr>
              <w:t>GNNs ignore the decoy, so no shortcut to detect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11C33" w14:textId="77777777" w:rsidR="00AC63BC" w:rsidRDefault="00000000">
            <w:r>
              <w:rPr>
                <w:sz w:val="19"/>
                <w:szCs w:val="19"/>
              </w:rPr>
              <w:t>Real-shortcut audit: overlap of real autism-model explanations with site-predictive edges</w:t>
            </w:r>
          </w:p>
        </w:tc>
      </w:tr>
      <w:tr w:rsidR="00AC63BC" w14:paraId="2D3A5676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AD045" w14:textId="77777777" w:rsidR="00AC63BC" w:rsidRDefault="00000000">
            <w:r>
              <w:rPr>
                <w:b/>
                <w:bCs/>
                <w:sz w:val="19"/>
                <w:szCs w:val="19"/>
              </w:rPr>
              <w:t>F4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4C805" w14:textId="77777777" w:rsidR="00AC63BC" w:rsidRDefault="00000000">
            <w:r>
              <w:rPr>
                <w:sz w:val="19"/>
                <w:szCs w:val="19"/>
              </w:rPr>
              <w:t>Planting judged too artificial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A69D2" w14:textId="77777777" w:rsidR="00AC63BC" w:rsidRDefault="00000000">
            <w:r>
              <w:rPr>
                <w:sz w:val="19"/>
                <w:szCs w:val="19"/>
              </w:rPr>
              <w:t>Atlas sensitivity study: explanation agreement across CC200, AAL, Harvard-Oxford and sparsification choices</w:t>
            </w:r>
          </w:p>
        </w:tc>
      </w:tr>
      <w:tr w:rsidR="00AC63BC" w14:paraId="14200732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3B70D" w14:textId="77777777" w:rsidR="00AC63BC" w:rsidRDefault="00000000">
            <w:r>
              <w:rPr>
                <w:b/>
                <w:bCs/>
                <w:sz w:val="19"/>
                <w:szCs w:val="19"/>
              </w:rPr>
              <w:t>F5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23175" w14:textId="77777777" w:rsidR="00AC63BC" w:rsidRDefault="00000000">
            <w:r>
              <w:rPr>
                <w:sz w:val="19"/>
                <w:szCs w:val="19"/>
              </w:rPr>
              <w:t>ABIDE-specific problems (few controls after QC, one site dominates)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03724" w14:textId="77777777" w:rsidR="00AC63BC" w:rsidRDefault="00000000">
            <w:r>
              <w:rPr>
                <w:sz w:val="19"/>
                <w:szCs w:val="19"/>
              </w:rPr>
              <w:t>Move pipeline to ADHD-200 or HCP; add cross-dataset transfer of explanations</w:t>
            </w:r>
          </w:p>
        </w:tc>
      </w:tr>
    </w:tbl>
    <w:p w14:paraId="2BC0B599" w14:textId="51652831" w:rsidR="00AC63BC" w:rsidRDefault="00000000">
      <w:pPr>
        <w:pStyle w:val="Heading1"/>
        <w:keepNext/>
        <w:pBdr>
          <w:bottom w:val="single" w:sz="6" w:space="2" w:color="BFBFBF"/>
        </w:pBdr>
        <w:spacing w:before="280" w:after="120"/>
      </w:pPr>
      <w:r>
        <w:t>8. Points</w:t>
      </w:r>
      <w:r w:rsidR="00C4642E">
        <w:t xml:space="preserve"> I</w:t>
      </w:r>
      <w:r>
        <w:t xml:space="preserve"> need your decision on</w:t>
      </w:r>
    </w:p>
    <w:p w14:paraId="1B037D69" w14:textId="77777777" w:rsidR="00AC63BC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Is O2 acceptable for the dissertation, with O1 as the guaranteed result?</w:t>
      </w:r>
    </w:p>
    <w:p w14:paraId="6FEEDBEA" w14:textId="77777777" w:rsidR="00AC63BC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Is a benchmark-style contribution enough for an M.Tech, or must a new model be the main result?</w:t>
      </w:r>
    </w:p>
    <w:p w14:paraId="397797BE" w14:textId="77777777" w:rsidR="00AC63BC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Is a clinical application chapter needed? If so, is fallback F3 (real autism data) enough?</w:t>
      </w:r>
    </w:p>
    <w:p w14:paraId="3C05380E" w14:textId="77777777" w:rsidR="00AC63BC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Does Amrita require an ethics approval or exemption note for open, de-identified data such as ABIDE?</w:t>
      </w:r>
    </w:p>
    <w:p w14:paraId="2F44375F" w14:textId="77F5E4F4" w:rsidR="00AC63BC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Target venue level: main conference</w:t>
      </w:r>
      <w:r w:rsidR="001B4C42">
        <w:t xml:space="preserve">, </w:t>
      </w:r>
      <w:r>
        <w:t>Any expected deadline?</w:t>
      </w:r>
    </w:p>
    <w:p w14:paraId="6DB9D079" w14:textId="77777777" w:rsidR="002B15A7" w:rsidRDefault="002B15A7" w:rsidP="002B15A7">
      <w:pPr>
        <w:spacing w:after="60" w:line="264" w:lineRule="auto"/>
      </w:pPr>
    </w:p>
    <w:p w14:paraId="0DE663E6" w14:textId="77777777" w:rsidR="002B15A7" w:rsidRDefault="002B15A7" w:rsidP="002B15A7">
      <w:pPr>
        <w:spacing w:after="60" w:line="264" w:lineRule="auto"/>
      </w:pPr>
    </w:p>
    <w:p w14:paraId="5B64C95E" w14:textId="77777777" w:rsidR="002B15A7" w:rsidRDefault="002B15A7" w:rsidP="002B15A7">
      <w:pPr>
        <w:spacing w:after="60" w:line="264" w:lineRule="auto"/>
      </w:pPr>
    </w:p>
    <w:p w14:paraId="171E8703" w14:textId="77777777" w:rsidR="002B15A7" w:rsidRDefault="002B15A7" w:rsidP="002B15A7">
      <w:pPr>
        <w:spacing w:after="60" w:line="264" w:lineRule="auto"/>
      </w:pPr>
    </w:p>
    <w:p w14:paraId="4F833311" w14:textId="77777777" w:rsidR="002B15A7" w:rsidRDefault="002B15A7" w:rsidP="002B15A7">
      <w:pPr>
        <w:spacing w:after="60" w:line="264" w:lineRule="auto"/>
      </w:pPr>
    </w:p>
    <w:p w14:paraId="118D3774" w14:textId="77777777" w:rsidR="002B15A7" w:rsidRDefault="002B15A7" w:rsidP="002B15A7">
      <w:pPr>
        <w:spacing w:after="60" w:line="264" w:lineRule="auto"/>
      </w:pPr>
    </w:p>
    <w:p w14:paraId="0151B08E" w14:textId="77777777" w:rsidR="002B15A7" w:rsidRDefault="002B15A7" w:rsidP="002B15A7">
      <w:pPr>
        <w:spacing w:after="60" w:line="264" w:lineRule="auto"/>
      </w:pPr>
    </w:p>
    <w:p w14:paraId="27ABAE49" w14:textId="77777777" w:rsidR="002B15A7" w:rsidRDefault="002B15A7" w:rsidP="002B15A7">
      <w:pPr>
        <w:spacing w:after="60" w:line="264" w:lineRule="auto"/>
      </w:pPr>
    </w:p>
    <w:p w14:paraId="2C8A79D1" w14:textId="77777777" w:rsidR="002B15A7" w:rsidRDefault="002B15A7" w:rsidP="002B15A7">
      <w:pPr>
        <w:spacing w:after="60" w:line="264" w:lineRule="auto"/>
      </w:pPr>
    </w:p>
    <w:p w14:paraId="04273972" w14:textId="77777777" w:rsidR="002B15A7" w:rsidRDefault="002B15A7" w:rsidP="002B15A7">
      <w:pPr>
        <w:spacing w:after="60" w:line="264" w:lineRule="auto"/>
      </w:pPr>
    </w:p>
    <w:p w14:paraId="1FBC8390" w14:textId="77777777" w:rsidR="002B15A7" w:rsidRDefault="002B15A7" w:rsidP="002B15A7">
      <w:pPr>
        <w:spacing w:after="60" w:line="264" w:lineRule="auto"/>
      </w:pPr>
    </w:p>
    <w:p w14:paraId="641063F7" w14:textId="77777777" w:rsidR="002B15A7" w:rsidRDefault="002B15A7" w:rsidP="002B15A7">
      <w:pPr>
        <w:spacing w:after="60" w:line="264" w:lineRule="auto"/>
      </w:pPr>
    </w:p>
    <w:p w14:paraId="6ADD2CE1" w14:textId="77777777" w:rsidR="002B15A7" w:rsidRDefault="002B15A7" w:rsidP="002B15A7">
      <w:pPr>
        <w:spacing w:after="60" w:line="264" w:lineRule="auto"/>
      </w:pPr>
    </w:p>
    <w:p w14:paraId="6E7441EF" w14:textId="77777777" w:rsidR="002B15A7" w:rsidRDefault="002B15A7" w:rsidP="002B15A7">
      <w:pPr>
        <w:spacing w:after="60" w:line="264" w:lineRule="auto"/>
      </w:pPr>
    </w:p>
    <w:p w14:paraId="46253EF3" w14:textId="77777777" w:rsidR="002B15A7" w:rsidRDefault="002B15A7" w:rsidP="002B15A7">
      <w:pPr>
        <w:spacing w:after="60" w:line="264" w:lineRule="auto"/>
      </w:pPr>
    </w:p>
    <w:p w14:paraId="670CF986" w14:textId="145DBC2F" w:rsidR="00AC63BC" w:rsidRDefault="00000000">
      <w:pPr>
        <w:pStyle w:val="Heading1"/>
        <w:keepNext/>
        <w:pBdr>
          <w:bottom w:val="single" w:sz="6" w:space="2" w:color="BFBFBF"/>
        </w:pBdr>
        <w:spacing w:before="280" w:after="120"/>
      </w:pPr>
      <w:r>
        <w:t>References</w:t>
      </w:r>
    </w:p>
    <w:p w14:paraId="77CD647D" w14:textId="18AEEC1D" w:rsidR="00AC63BC" w:rsidRDefault="00000000">
      <w:pPr>
        <w:spacing w:after="60"/>
      </w:pPr>
      <w:r>
        <w:rPr>
          <w:b/>
          <w:bCs/>
          <w:sz w:val="20"/>
          <w:szCs w:val="20"/>
        </w:rPr>
        <w:t>Earlier base paper</w:t>
      </w:r>
      <w:r w:rsidR="00730EEB">
        <w:rPr>
          <w:b/>
          <w:bCs/>
          <w:sz w:val="20"/>
          <w:szCs w:val="20"/>
        </w:rPr>
        <w:t>s</w:t>
      </w:r>
    </w:p>
    <w:p w14:paraId="1D95154F" w14:textId="77777777" w:rsidR="00AC63BC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rPr>
          <w:sz w:val="20"/>
          <w:szCs w:val="20"/>
        </w:rPr>
        <w:t xml:space="preserve">Peng et al., </w:t>
      </w:r>
      <w:r>
        <w:rPr>
          <w:i/>
          <w:iCs/>
          <w:sz w:val="20"/>
          <w:szCs w:val="20"/>
        </w:rPr>
        <w:t>Head-and-neck cancer PET/CT population-graph GNN</w:t>
      </w:r>
      <w:r>
        <w:rPr>
          <w:sz w:val="20"/>
          <w:szCs w:val="20"/>
        </w:rPr>
        <w:t>, Biomedical Signal Processing and Control, 2024.</w:t>
      </w:r>
    </w:p>
    <w:p w14:paraId="7B5F41F3" w14:textId="77777777" w:rsidR="00AC63BC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rPr>
          <w:sz w:val="20"/>
          <w:szCs w:val="20"/>
        </w:rPr>
        <w:t xml:space="preserve">Zhang et al., </w:t>
      </w:r>
      <w:r>
        <w:rPr>
          <w:i/>
          <w:iCs/>
          <w:sz w:val="20"/>
          <w:szCs w:val="20"/>
        </w:rPr>
        <w:t>Alzheimer's sMRI + PET population-graph GNN</w:t>
      </w:r>
      <w:r>
        <w:rPr>
          <w:sz w:val="20"/>
          <w:szCs w:val="20"/>
        </w:rPr>
        <w:t>, Computers in Biology and Medicine, 2023.</w:t>
      </w:r>
    </w:p>
    <w:p w14:paraId="107207B5" w14:textId="77777777" w:rsidR="00AC63BC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rPr>
          <w:sz w:val="20"/>
          <w:szCs w:val="20"/>
        </w:rPr>
        <w:t xml:space="preserve">Jalali et al., </w:t>
      </w:r>
      <w:r>
        <w:rPr>
          <w:i/>
          <w:iCs/>
          <w:sz w:val="20"/>
          <w:szCs w:val="20"/>
        </w:rPr>
        <w:t>VGA-Net: retinal vessel graph network</w:t>
      </w:r>
      <w:r>
        <w:rPr>
          <w:sz w:val="20"/>
          <w:szCs w:val="20"/>
        </w:rPr>
        <w:t>, IET Image Processing, 2024.</w:t>
      </w:r>
    </w:p>
    <w:p w14:paraId="019E6B1F" w14:textId="77777777" w:rsidR="00AC63BC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rPr>
          <w:sz w:val="20"/>
          <w:szCs w:val="20"/>
        </w:rPr>
        <w:t xml:space="preserve">Qin et al., </w:t>
      </w:r>
      <w:r>
        <w:rPr>
          <w:i/>
          <w:iCs/>
          <w:sz w:val="20"/>
          <w:szCs w:val="20"/>
        </w:rPr>
        <w:t>Depression fMRI connectome study (REST-meta-MDD)</w:t>
      </w:r>
      <w:r>
        <w:rPr>
          <w:sz w:val="20"/>
          <w:szCs w:val="20"/>
        </w:rPr>
        <w:t>, EBioMedicine, 2022.</w:t>
      </w:r>
    </w:p>
    <w:p w14:paraId="358038DD" w14:textId="77777777" w:rsidR="00AC63BC" w:rsidRDefault="00000000">
      <w:pPr>
        <w:spacing w:before="120" w:after="60"/>
      </w:pPr>
      <w:r>
        <w:rPr>
          <w:b/>
          <w:bCs/>
          <w:sz w:val="20"/>
          <w:szCs w:val="20"/>
        </w:rPr>
        <w:t>Current topic</w:t>
      </w:r>
    </w:p>
    <w:p w14:paraId="13123D65" w14:textId="77777777" w:rsidR="00AC63BC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rPr>
          <w:sz w:val="20"/>
          <w:szCs w:val="20"/>
        </w:rPr>
        <w:t xml:space="preserve">Agarwal et al., </w:t>
      </w:r>
      <w:hyperlink r:id="rId7" w:history="1">
        <w:r w:rsidR="00AC63BC">
          <w:rPr>
            <w:rStyle w:val="Hyperlink"/>
            <w:sz w:val="20"/>
            <w:szCs w:val="20"/>
          </w:rPr>
          <w:t>Evaluating explainability for graph neural networks</w:t>
        </w:r>
      </w:hyperlink>
      <w:r>
        <w:rPr>
          <w:sz w:val="20"/>
          <w:szCs w:val="20"/>
        </w:rPr>
        <w:t>, Scientific Data, 2022.</w:t>
      </w:r>
    </w:p>
    <w:p w14:paraId="3DCA1918" w14:textId="77777777" w:rsidR="00AC63BC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rPr>
          <w:sz w:val="20"/>
          <w:szCs w:val="20"/>
        </w:rPr>
        <w:t xml:space="preserve">Cui et al., </w:t>
      </w:r>
      <w:hyperlink r:id="rId8" w:history="1">
        <w:r w:rsidR="00AC63BC">
          <w:rPr>
            <w:rStyle w:val="Hyperlink"/>
            <w:sz w:val="20"/>
            <w:szCs w:val="20"/>
          </w:rPr>
          <w:t>BrainGB: A Benchmark for Brain Network Analysis with GNNs</w:t>
        </w:r>
      </w:hyperlink>
      <w:r>
        <w:rPr>
          <w:sz w:val="20"/>
          <w:szCs w:val="20"/>
        </w:rPr>
        <w:t>, IEEE TMI, 2022.</w:t>
      </w:r>
    </w:p>
    <w:p w14:paraId="0D31798D" w14:textId="77777777" w:rsidR="00AC63BC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rPr>
          <w:sz w:val="20"/>
          <w:szCs w:val="20"/>
        </w:rPr>
        <w:t xml:space="preserve">Li et al., </w:t>
      </w:r>
      <w:hyperlink r:id="rId9" w:history="1">
        <w:r w:rsidR="00AC63BC">
          <w:rPr>
            <w:rStyle w:val="Hyperlink"/>
            <w:sz w:val="20"/>
            <w:szCs w:val="20"/>
          </w:rPr>
          <w:t>BrainGNN: Interpretable Brain GNN for fMRI Analysis</w:t>
        </w:r>
      </w:hyperlink>
      <w:r>
        <w:rPr>
          <w:sz w:val="20"/>
          <w:szCs w:val="20"/>
        </w:rPr>
        <w:t>, Medical Image Analysis, 2020.</w:t>
      </w:r>
    </w:p>
    <w:p w14:paraId="3E10C2CE" w14:textId="77777777" w:rsidR="00AC63BC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rPr>
          <w:sz w:val="20"/>
          <w:szCs w:val="20"/>
        </w:rPr>
        <w:t xml:space="preserve">Zheng et al., </w:t>
      </w:r>
      <w:hyperlink r:id="rId10" w:history="1">
        <w:r w:rsidR="00AC63BC">
          <w:rPr>
            <w:rStyle w:val="Hyperlink"/>
            <w:sz w:val="20"/>
            <w:szCs w:val="20"/>
          </w:rPr>
          <w:t>CI-GNN: Granger causality-inspired GNN for interpretable psychiatric diagnosis</w:t>
        </w:r>
      </w:hyperlink>
      <w:r>
        <w:rPr>
          <w:sz w:val="20"/>
          <w:szCs w:val="20"/>
        </w:rPr>
        <w:t>, Neural Networks, 2023.</w:t>
      </w:r>
    </w:p>
    <w:p w14:paraId="240E3599" w14:textId="77777777" w:rsidR="00AC63BC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rPr>
          <w:sz w:val="20"/>
          <w:szCs w:val="20"/>
        </w:rPr>
        <w:t xml:space="preserve">Qiu et al., </w:t>
      </w:r>
      <w:hyperlink r:id="rId11" w:history="1">
        <w:r w:rsidR="00AC63BC">
          <w:rPr>
            <w:rStyle w:val="Hyperlink"/>
            <w:sz w:val="20"/>
            <w:szCs w:val="20"/>
          </w:rPr>
          <w:t>MetaExplainer: domain generalization of functional connectome analyses from the perspective of explainability</w:t>
        </w:r>
      </w:hyperlink>
      <w:r>
        <w:rPr>
          <w:sz w:val="20"/>
          <w:szCs w:val="20"/>
        </w:rPr>
        <w:t>, Medical Image Analysis, 2025.</w:t>
      </w:r>
    </w:p>
    <w:p w14:paraId="502B037A" w14:textId="77777777" w:rsidR="00AC63BC" w:rsidRDefault="00AC63BC">
      <w:pPr>
        <w:pStyle w:val="ListParagraph"/>
        <w:numPr>
          <w:ilvl w:val="0"/>
          <w:numId w:val="4"/>
        </w:numPr>
        <w:spacing w:after="60" w:line="264" w:lineRule="auto"/>
      </w:pPr>
      <w:hyperlink r:id="rId12" w:history="1">
        <w:r>
          <w:rPr>
            <w:rStyle w:val="Hyperlink"/>
            <w:sz w:val="20"/>
            <w:szCs w:val="20"/>
          </w:rPr>
          <w:t>Causal Invariance-aware Augmentation for Brain Graph Contrastive Learning (CIA-GCL)</w:t>
        </w:r>
      </w:hyperlink>
      <w:r>
        <w:rPr>
          <w:sz w:val="20"/>
          <w:szCs w:val="20"/>
        </w:rPr>
        <w:t>, ICML, 2025.</w:t>
      </w:r>
    </w:p>
    <w:p w14:paraId="1D313172" w14:textId="77777777" w:rsidR="00AC63BC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rPr>
          <w:sz w:val="20"/>
          <w:szCs w:val="20"/>
        </w:rPr>
        <w:t xml:space="preserve">Wu et al., </w:t>
      </w:r>
      <w:hyperlink r:id="rId13" w:history="1">
        <w:r w:rsidR="00AC63BC">
          <w:rPr>
            <w:rStyle w:val="Hyperlink"/>
            <w:sz w:val="20"/>
            <w:szCs w:val="20"/>
          </w:rPr>
          <w:t>Discovering Invariant Rationales for GNNs (DIR)</w:t>
        </w:r>
      </w:hyperlink>
      <w:r>
        <w:rPr>
          <w:sz w:val="20"/>
          <w:szCs w:val="20"/>
        </w:rPr>
        <w:t>, ICLR, 2022.</w:t>
      </w:r>
    </w:p>
    <w:p w14:paraId="034298E4" w14:textId="77777777" w:rsidR="00AC63BC" w:rsidRDefault="00AC63BC">
      <w:pPr>
        <w:pStyle w:val="ListParagraph"/>
        <w:numPr>
          <w:ilvl w:val="0"/>
          <w:numId w:val="4"/>
        </w:numPr>
        <w:spacing w:after="60" w:line="264" w:lineRule="auto"/>
      </w:pPr>
      <w:hyperlink r:id="rId14" w:history="1">
        <w:r>
          <w:rPr>
            <w:rStyle w:val="Hyperlink"/>
            <w:sz w:val="20"/>
            <w:szCs w:val="20"/>
          </w:rPr>
          <w:t>BAGEL: A Benchmark for Assessing GNN Explanations</w:t>
        </w:r>
      </w:hyperlink>
      <w:r>
        <w:rPr>
          <w:sz w:val="20"/>
          <w:szCs w:val="20"/>
        </w:rPr>
        <w:t>, 2024.</w:t>
      </w:r>
    </w:p>
    <w:p w14:paraId="2CF01854" w14:textId="77777777" w:rsidR="00AC63BC" w:rsidRDefault="00AC63BC">
      <w:pPr>
        <w:pStyle w:val="ListParagraph"/>
        <w:numPr>
          <w:ilvl w:val="0"/>
          <w:numId w:val="4"/>
        </w:numPr>
        <w:spacing w:after="60" w:line="264" w:lineRule="auto"/>
      </w:pPr>
      <w:hyperlink r:id="rId15" w:history="1">
        <w:r>
          <w:rPr>
            <w:rStyle w:val="Hyperlink"/>
            <w:sz w:val="20"/>
            <w:szCs w:val="20"/>
          </w:rPr>
          <w:t>BrainNNExplainer</w:t>
        </w:r>
      </w:hyperlink>
      <w:r>
        <w:rPr>
          <w:sz w:val="20"/>
          <w:szCs w:val="20"/>
        </w:rPr>
        <w:t>, 2021.</w:t>
      </w:r>
    </w:p>
    <w:p w14:paraId="11E21C85" w14:textId="77777777" w:rsidR="00AC63BC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rPr>
          <w:sz w:val="20"/>
          <w:szCs w:val="20"/>
        </w:rPr>
        <w:t xml:space="preserve">Han et al., </w:t>
      </w:r>
      <w:hyperlink r:id="rId16" w:history="1">
        <w:r w:rsidR="00AC63BC">
          <w:rPr>
            <w:rStyle w:val="Hyperlink"/>
            <w:sz w:val="20"/>
            <w:szCs w:val="20"/>
          </w:rPr>
          <w:t>Rethinking Functional Brain Connectome Analysis: Do Graph Deep Learning Models Help?</w:t>
        </w:r>
      </w:hyperlink>
      <w:r>
        <w:rPr>
          <w:sz w:val="20"/>
          <w:szCs w:val="20"/>
        </w:rPr>
        <w:t>, arXiv, 2025.</w:t>
      </w:r>
    </w:p>
    <w:p w14:paraId="2A6CE82B" w14:textId="77777777" w:rsidR="00AC63BC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rPr>
          <w:sz w:val="20"/>
          <w:szCs w:val="20"/>
        </w:rPr>
        <w:t xml:space="preserve">Mueller et al., </w:t>
      </w:r>
      <w:hyperlink r:id="rId17" w:history="1">
        <w:r w:rsidR="00AC63BC">
          <w:rPr>
            <w:rStyle w:val="Hyperlink"/>
            <w:sz w:val="20"/>
            <w:szCs w:val="20"/>
          </w:rPr>
          <w:t>Are Population Graphs Really as Powerful as Believed?</w:t>
        </w:r>
      </w:hyperlink>
      <w:r>
        <w:rPr>
          <w:sz w:val="20"/>
          <w:szCs w:val="20"/>
        </w:rPr>
        <w:t>, TMLR, 2024.</w:t>
      </w:r>
    </w:p>
    <w:p w14:paraId="2F1388E6" w14:textId="77777777" w:rsidR="00AC63BC" w:rsidRDefault="00AC63BC">
      <w:pPr>
        <w:pStyle w:val="ListParagraph"/>
        <w:numPr>
          <w:ilvl w:val="0"/>
          <w:numId w:val="4"/>
        </w:numPr>
        <w:spacing w:after="60" w:line="264" w:lineRule="auto"/>
      </w:pPr>
      <w:hyperlink r:id="rId18" w:history="1">
        <w:r>
          <w:rPr>
            <w:rStyle w:val="Hyperlink"/>
            <w:sz w:val="20"/>
            <w:szCs w:val="20"/>
          </w:rPr>
          <w:t>Perturb More, Trap More: explainer fidelity vs. accuracy</w:t>
        </w:r>
      </w:hyperlink>
      <w:r>
        <w:rPr>
          <w:sz w:val="20"/>
          <w:szCs w:val="20"/>
        </w:rPr>
        <w:t>, 2020.</w:t>
      </w:r>
    </w:p>
    <w:p w14:paraId="1B7799C7" w14:textId="77777777" w:rsidR="00AC63BC" w:rsidRDefault="00000000">
      <w:pPr>
        <w:spacing w:before="120" w:after="60"/>
      </w:pPr>
      <w:r>
        <w:rPr>
          <w:b/>
          <w:bCs/>
          <w:sz w:val="20"/>
          <w:szCs w:val="20"/>
        </w:rPr>
        <w:t>Data and atlas</w:t>
      </w:r>
    </w:p>
    <w:p w14:paraId="56531FF0" w14:textId="77777777" w:rsidR="00AC63BC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rPr>
          <w:sz w:val="20"/>
          <w:szCs w:val="20"/>
        </w:rPr>
        <w:t xml:space="preserve">Di Martino et al., </w:t>
      </w:r>
      <w:hyperlink r:id="rId19" w:history="1">
        <w:r w:rsidR="00AC63BC">
          <w:rPr>
            <w:rStyle w:val="Hyperlink"/>
            <w:sz w:val="20"/>
            <w:szCs w:val="20"/>
          </w:rPr>
          <w:t>The autism brain imaging data exchange: towards a large-scale evaluation of the intrinsic brain architecture in autism</w:t>
        </w:r>
      </w:hyperlink>
      <w:r>
        <w:rPr>
          <w:sz w:val="20"/>
          <w:szCs w:val="20"/>
        </w:rPr>
        <w:t>, Molecular Psychiatry, 2014.</w:t>
      </w:r>
    </w:p>
    <w:p w14:paraId="4DFD2050" w14:textId="77777777" w:rsidR="00AC63BC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rPr>
          <w:sz w:val="20"/>
          <w:szCs w:val="20"/>
        </w:rPr>
        <w:t xml:space="preserve">Craddock et al., </w:t>
      </w:r>
      <w:hyperlink r:id="rId20" w:history="1">
        <w:r w:rsidR="00AC63BC">
          <w:rPr>
            <w:rStyle w:val="Hyperlink"/>
            <w:sz w:val="20"/>
            <w:szCs w:val="20"/>
          </w:rPr>
          <w:t>The Neuro Bureau Preprocessing Initiative: open sharing of preprocessed neuroimaging data and derivatives</w:t>
        </w:r>
      </w:hyperlink>
      <w:r>
        <w:rPr>
          <w:sz w:val="20"/>
          <w:szCs w:val="20"/>
        </w:rPr>
        <w:t>, Frontiers in Neuroinformatics, 2013.</w:t>
      </w:r>
    </w:p>
    <w:p w14:paraId="02CD8D02" w14:textId="77777777" w:rsidR="00AC63BC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rPr>
          <w:sz w:val="20"/>
          <w:szCs w:val="20"/>
        </w:rPr>
        <w:t xml:space="preserve">Craddock et al., </w:t>
      </w:r>
      <w:hyperlink r:id="rId21" w:history="1">
        <w:r w:rsidR="00AC63BC">
          <w:rPr>
            <w:rStyle w:val="Hyperlink"/>
            <w:sz w:val="20"/>
            <w:szCs w:val="20"/>
          </w:rPr>
          <w:t>A whole brain fMRI atlas generated via spatially constrained spectral clustering</w:t>
        </w:r>
      </w:hyperlink>
      <w:r>
        <w:rPr>
          <w:sz w:val="20"/>
          <w:szCs w:val="20"/>
        </w:rPr>
        <w:t>, Human Brain Mapping, 2012.</w:t>
      </w:r>
    </w:p>
    <w:p w14:paraId="22A74771" w14:textId="77777777" w:rsidR="00AC63BC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rPr>
          <w:sz w:val="20"/>
          <w:szCs w:val="20"/>
        </w:rPr>
        <w:t xml:space="preserve">ADHD-200 Consortium, </w:t>
      </w:r>
      <w:hyperlink r:id="rId22" w:history="1">
        <w:r w:rsidR="00AC63BC">
          <w:rPr>
            <w:rStyle w:val="Hyperlink"/>
            <w:sz w:val="20"/>
            <w:szCs w:val="20"/>
          </w:rPr>
          <w:t>The ADHD-200 Consortium: a model to advance the translational potential of neuroimaging in clinical neuroscience</w:t>
        </w:r>
      </w:hyperlink>
      <w:r>
        <w:rPr>
          <w:sz w:val="20"/>
          <w:szCs w:val="20"/>
        </w:rPr>
        <w:t>, Frontiers in Systems Neuroscience, 2012.</w:t>
      </w:r>
    </w:p>
    <w:sectPr w:rsidR="00AC63BC">
      <w:footerReference w:type="default" r:id="rId23"/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54D49" w14:textId="77777777" w:rsidR="000920CB" w:rsidRDefault="000920CB">
      <w:r>
        <w:separator/>
      </w:r>
    </w:p>
  </w:endnote>
  <w:endnote w:type="continuationSeparator" w:id="0">
    <w:p w14:paraId="419BAC17" w14:textId="77777777" w:rsidR="000920CB" w:rsidRDefault="00092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A97A2" w14:textId="77777777" w:rsidR="00AC63BC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293F71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BD467" w14:textId="77777777" w:rsidR="000920CB" w:rsidRDefault="000920CB">
      <w:r>
        <w:separator/>
      </w:r>
    </w:p>
  </w:footnote>
  <w:footnote w:type="continuationSeparator" w:id="0">
    <w:p w14:paraId="71FE7083" w14:textId="77777777" w:rsidR="000920CB" w:rsidRDefault="000920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50D09"/>
    <w:multiLevelType w:val="hybridMultilevel"/>
    <w:tmpl w:val="653C43A2"/>
    <w:lvl w:ilvl="0" w:tplc="E996CEF2">
      <w:start w:val="1"/>
      <w:numFmt w:val="decimal"/>
      <w:lvlText w:val="[%1]"/>
      <w:lvlJc w:val="left"/>
      <w:pPr>
        <w:ind w:left="500" w:hanging="300"/>
      </w:pPr>
    </w:lvl>
    <w:lvl w:ilvl="1" w:tplc="CAE6898A">
      <w:numFmt w:val="decimal"/>
      <w:lvlText w:val=""/>
      <w:lvlJc w:val="left"/>
    </w:lvl>
    <w:lvl w:ilvl="2" w:tplc="0494F8DA">
      <w:numFmt w:val="decimal"/>
      <w:lvlText w:val=""/>
      <w:lvlJc w:val="left"/>
    </w:lvl>
    <w:lvl w:ilvl="3" w:tplc="821E4F7C">
      <w:numFmt w:val="decimal"/>
      <w:lvlText w:val=""/>
      <w:lvlJc w:val="left"/>
    </w:lvl>
    <w:lvl w:ilvl="4" w:tplc="D8609A5E">
      <w:numFmt w:val="decimal"/>
      <w:lvlText w:val=""/>
      <w:lvlJc w:val="left"/>
    </w:lvl>
    <w:lvl w:ilvl="5" w:tplc="818C4728">
      <w:numFmt w:val="decimal"/>
      <w:lvlText w:val=""/>
      <w:lvlJc w:val="left"/>
    </w:lvl>
    <w:lvl w:ilvl="6" w:tplc="543610E4">
      <w:numFmt w:val="decimal"/>
      <w:lvlText w:val=""/>
      <w:lvlJc w:val="left"/>
    </w:lvl>
    <w:lvl w:ilvl="7" w:tplc="6F9051A2">
      <w:numFmt w:val="decimal"/>
      <w:lvlText w:val=""/>
      <w:lvlJc w:val="left"/>
    </w:lvl>
    <w:lvl w:ilvl="8" w:tplc="40EC0BBE">
      <w:numFmt w:val="decimal"/>
      <w:lvlText w:val=""/>
      <w:lvlJc w:val="left"/>
    </w:lvl>
  </w:abstractNum>
  <w:abstractNum w:abstractNumId="1" w15:restartNumberingAfterBreak="0">
    <w:nsid w:val="29927610"/>
    <w:multiLevelType w:val="hybridMultilevel"/>
    <w:tmpl w:val="BE4A9BB2"/>
    <w:lvl w:ilvl="0" w:tplc="6142B398" w:tentative="1">
      <w:start w:val="1"/>
      <w:numFmt w:val="bullet"/>
      <w:lvlText w:val="●"/>
      <w:lvlJc w:val="left"/>
      <w:pPr>
        <w:ind w:left="720" w:hanging="360"/>
      </w:pPr>
    </w:lvl>
    <w:lvl w:ilvl="1" w:tplc="6A6E9A08" w:tentative="1">
      <w:start w:val="1"/>
      <w:numFmt w:val="bullet"/>
      <w:lvlText w:val="○"/>
      <w:lvlJc w:val="left"/>
      <w:pPr>
        <w:ind w:left="1440" w:hanging="360"/>
      </w:pPr>
    </w:lvl>
    <w:lvl w:ilvl="2" w:tplc="C91A8F6C" w:tentative="1">
      <w:start w:val="1"/>
      <w:numFmt w:val="bullet"/>
      <w:lvlText w:val="■"/>
      <w:lvlJc w:val="left"/>
      <w:pPr>
        <w:ind w:left="2160" w:hanging="360"/>
      </w:pPr>
    </w:lvl>
    <w:lvl w:ilvl="3" w:tplc="A6662F72" w:tentative="1">
      <w:start w:val="1"/>
      <w:numFmt w:val="bullet"/>
      <w:lvlText w:val="●"/>
      <w:lvlJc w:val="left"/>
      <w:pPr>
        <w:ind w:left="2880" w:hanging="360"/>
      </w:pPr>
    </w:lvl>
    <w:lvl w:ilvl="4" w:tplc="8EF60B5A" w:tentative="1">
      <w:start w:val="1"/>
      <w:numFmt w:val="bullet"/>
      <w:lvlText w:val="○"/>
      <w:lvlJc w:val="left"/>
      <w:pPr>
        <w:ind w:left="3600" w:hanging="360"/>
      </w:pPr>
    </w:lvl>
    <w:lvl w:ilvl="5" w:tplc="E2CEB656" w:tentative="1">
      <w:start w:val="1"/>
      <w:numFmt w:val="bullet"/>
      <w:lvlText w:val="■"/>
      <w:lvlJc w:val="left"/>
      <w:pPr>
        <w:ind w:left="4320" w:hanging="360"/>
      </w:pPr>
    </w:lvl>
    <w:lvl w:ilvl="6" w:tplc="99060CA4" w:tentative="1">
      <w:start w:val="1"/>
      <w:numFmt w:val="bullet"/>
      <w:lvlText w:val="●"/>
      <w:lvlJc w:val="left"/>
      <w:pPr>
        <w:ind w:left="5040" w:hanging="360"/>
      </w:pPr>
    </w:lvl>
    <w:lvl w:ilvl="7" w:tplc="6DA61568" w:tentative="1">
      <w:start w:val="1"/>
      <w:numFmt w:val="bullet"/>
      <w:lvlText w:val="●"/>
      <w:lvlJc w:val="left"/>
      <w:pPr>
        <w:ind w:left="5760" w:hanging="360"/>
      </w:pPr>
    </w:lvl>
    <w:lvl w:ilvl="8" w:tplc="A28AF2D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E36CC6"/>
    <w:multiLevelType w:val="hybridMultilevel"/>
    <w:tmpl w:val="7B7A6460"/>
    <w:lvl w:ilvl="0" w:tplc="1986830A">
      <w:start w:val="1"/>
      <w:numFmt w:val="bullet"/>
      <w:lvlText w:val="•"/>
      <w:lvlJc w:val="left"/>
      <w:pPr>
        <w:ind w:left="500" w:hanging="300"/>
      </w:pPr>
    </w:lvl>
    <w:lvl w:ilvl="1" w:tplc="B1F220B6">
      <w:numFmt w:val="decimal"/>
      <w:lvlText w:val=""/>
      <w:lvlJc w:val="left"/>
    </w:lvl>
    <w:lvl w:ilvl="2" w:tplc="2B9ED7F8">
      <w:numFmt w:val="decimal"/>
      <w:lvlText w:val=""/>
      <w:lvlJc w:val="left"/>
    </w:lvl>
    <w:lvl w:ilvl="3" w:tplc="E4EE2EF6">
      <w:numFmt w:val="decimal"/>
      <w:lvlText w:val=""/>
      <w:lvlJc w:val="left"/>
    </w:lvl>
    <w:lvl w:ilvl="4" w:tplc="F88CD998">
      <w:numFmt w:val="decimal"/>
      <w:lvlText w:val=""/>
      <w:lvlJc w:val="left"/>
    </w:lvl>
    <w:lvl w:ilvl="5" w:tplc="464636EA">
      <w:numFmt w:val="decimal"/>
      <w:lvlText w:val=""/>
      <w:lvlJc w:val="left"/>
    </w:lvl>
    <w:lvl w:ilvl="6" w:tplc="04884D3C">
      <w:numFmt w:val="decimal"/>
      <w:lvlText w:val=""/>
      <w:lvlJc w:val="left"/>
    </w:lvl>
    <w:lvl w:ilvl="7" w:tplc="6ABC3E66">
      <w:numFmt w:val="decimal"/>
      <w:lvlText w:val=""/>
      <w:lvlJc w:val="left"/>
    </w:lvl>
    <w:lvl w:ilvl="8" w:tplc="428A2296">
      <w:numFmt w:val="decimal"/>
      <w:lvlText w:val=""/>
      <w:lvlJc w:val="left"/>
    </w:lvl>
  </w:abstractNum>
  <w:abstractNum w:abstractNumId="3" w15:restartNumberingAfterBreak="0">
    <w:nsid w:val="66DD07B0"/>
    <w:multiLevelType w:val="hybridMultilevel"/>
    <w:tmpl w:val="339EBAFC"/>
    <w:lvl w:ilvl="0" w:tplc="068C99FC" w:tentative="1">
      <w:start w:val="1"/>
      <w:numFmt w:val="decimal"/>
      <w:lvlText w:val="%1."/>
      <w:lvlJc w:val="left"/>
      <w:pPr>
        <w:ind w:left="500" w:hanging="300"/>
      </w:pPr>
    </w:lvl>
    <w:lvl w:ilvl="1" w:tplc="D3E6A416">
      <w:numFmt w:val="decimal"/>
      <w:lvlText w:val=""/>
      <w:lvlJc w:val="left"/>
    </w:lvl>
    <w:lvl w:ilvl="2" w:tplc="4B4AB02C">
      <w:numFmt w:val="decimal"/>
      <w:lvlText w:val=""/>
      <w:lvlJc w:val="left"/>
    </w:lvl>
    <w:lvl w:ilvl="3" w:tplc="27507F90">
      <w:numFmt w:val="decimal"/>
      <w:lvlText w:val=""/>
      <w:lvlJc w:val="left"/>
    </w:lvl>
    <w:lvl w:ilvl="4" w:tplc="3E64FE54">
      <w:numFmt w:val="decimal"/>
      <w:lvlText w:val=""/>
      <w:lvlJc w:val="left"/>
    </w:lvl>
    <w:lvl w:ilvl="5" w:tplc="83B08098">
      <w:numFmt w:val="decimal"/>
      <w:lvlText w:val=""/>
      <w:lvlJc w:val="left"/>
    </w:lvl>
    <w:lvl w:ilvl="6" w:tplc="A5DEC654">
      <w:numFmt w:val="decimal"/>
      <w:lvlText w:val=""/>
      <w:lvlJc w:val="left"/>
    </w:lvl>
    <w:lvl w:ilvl="7" w:tplc="1D280702">
      <w:numFmt w:val="decimal"/>
      <w:lvlText w:val=""/>
      <w:lvlJc w:val="left"/>
    </w:lvl>
    <w:lvl w:ilvl="8" w:tplc="295060C6">
      <w:numFmt w:val="decimal"/>
      <w:lvlText w:val=""/>
      <w:lvlJc w:val="left"/>
    </w:lvl>
  </w:abstractNum>
  <w:abstractNum w:abstractNumId="4" w15:restartNumberingAfterBreak="0">
    <w:nsid w:val="79976873"/>
    <w:multiLevelType w:val="hybridMultilevel"/>
    <w:tmpl w:val="BFFE1CBC"/>
    <w:lvl w:ilvl="0" w:tplc="B3D23012">
      <w:start w:val="1"/>
      <w:numFmt w:val="decimal"/>
      <w:lvlText w:val="%1."/>
      <w:lvlJc w:val="left"/>
      <w:pPr>
        <w:ind w:left="500" w:hanging="300"/>
      </w:pPr>
    </w:lvl>
    <w:lvl w:ilvl="1" w:tplc="72606AE2">
      <w:numFmt w:val="decimal"/>
      <w:lvlText w:val=""/>
      <w:lvlJc w:val="left"/>
    </w:lvl>
    <w:lvl w:ilvl="2" w:tplc="C3FC2E42">
      <w:numFmt w:val="decimal"/>
      <w:lvlText w:val=""/>
      <w:lvlJc w:val="left"/>
    </w:lvl>
    <w:lvl w:ilvl="3" w:tplc="03D2FAEE">
      <w:numFmt w:val="decimal"/>
      <w:lvlText w:val=""/>
      <w:lvlJc w:val="left"/>
    </w:lvl>
    <w:lvl w:ilvl="4" w:tplc="1D4EAFEE">
      <w:numFmt w:val="decimal"/>
      <w:lvlText w:val=""/>
      <w:lvlJc w:val="left"/>
    </w:lvl>
    <w:lvl w:ilvl="5" w:tplc="BE94BD04">
      <w:numFmt w:val="decimal"/>
      <w:lvlText w:val=""/>
      <w:lvlJc w:val="left"/>
    </w:lvl>
    <w:lvl w:ilvl="6" w:tplc="F41677DA">
      <w:numFmt w:val="decimal"/>
      <w:lvlText w:val=""/>
      <w:lvlJc w:val="left"/>
    </w:lvl>
    <w:lvl w:ilvl="7" w:tplc="65FE50B2">
      <w:numFmt w:val="decimal"/>
      <w:lvlText w:val=""/>
      <w:lvlJc w:val="left"/>
    </w:lvl>
    <w:lvl w:ilvl="8" w:tplc="1C2C0D6A">
      <w:numFmt w:val="decimal"/>
      <w:lvlText w:val=""/>
      <w:lvlJc w:val="left"/>
    </w:lvl>
  </w:abstractNum>
  <w:num w:numId="1" w16cid:durableId="790171951">
    <w:abstractNumId w:val="1"/>
    <w:lvlOverride w:ilvl="0">
      <w:startOverride w:val="1"/>
    </w:lvlOverride>
  </w:num>
  <w:num w:numId="2" w16cid:durableId="1558470671">
    <w:abstractNumId w:val="4"/>
    <w:lvlOverride w:ilvl="0">
      <w:startOverride w:val="1"/>
    </w:lvlOverride>
  </w:num>
  <w:num w:numId="3" w16cid:durableId="139733441">
    <w:abstractNumId w:val="2"/>
    <w:lvlOverride w:ilvl="0">
      <w:startOverride w:val="1"/>
    </w:lvlOverride>
  </w:num>
  <w:num w:numId="4" w16cid:durableId="6897208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3BC"/>
    <w:rsid w:val="000920CB"/>
    <w:rsid w:val="001B4C42"/>
    <w:rsid w:val="00293F71"/>
    <w:rsid w:val="002B15A7"/>
    <w:rsid w:val="00730EEB"/>
    <w:rsid w:val="007C5FB2"/>
    <w:rsid w:val="008D5A8F"/>
    <w:rsid w:val="00A0390D"/>
    <w:rsid w:val="00AA7E1B"/>
    <w:rsid w:val="00AC63BC"/>
    <w:rsid w:val="00B8480F"/>
    <w:rsid w:val="00C4642E"/>
    <w:rsid w:val="00C5456F"/>
    <w:rsid w:val="00FE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BC4A6"/>
  <w15:docId w15:val="{59E4CA72-E45F-4B51-A692-FCCD7F960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ensus.app/papers/details/f8a48080490d5e4eaa72419bdda25b5a/" TargetMode="External"/><Relationship Id="rId13" Type="http://schemas.openxmlformats.org/officeDocument/2006/relationships/hyperlink" Target="https://iclr.cc/virtual/2022/poster/6555" TargetMode="External"/><Relationship Id="rId18" Type="http://schemas.openxmlformats.org/officeDocument/2006/relationships/hyperlink" Target="https://arxiv.org/pdf/2004.09808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002/hbm.21333" TargetMode="External"/><Relationship Id="rId7" Type="http://schemas.openxmlformats.org/officeDocument/2006/relationships/hyperlink" Target="https://consensus.app/papers/details/c0d36146350454308b2c6ea34746997c/" TargetMode="External"/><Relationship Id="rId12" Type="http://schemas.openxmlformats.org/officeDocument/2006/relationships/hyperlink" Target="https://proceedings.mlr.press/v267/yu25o.html" TargetMode="External"/><Relationship Id="rId17" Type="http://schemas.openxmlformats.org/officeDocument/2006/relationships/hyperlink" Target="https://mlanthology.org/tmlr/2024/muller2024tmlr-population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arxiv.org/abs/2501.17207v1" TargetMode="External"/><Relationship Id="rId20" Type="http://schemas.openxmlformats.org/officeDocument/2006/relationships/hyperlink" Target="https://doi.org/10.3389/conf.fninf.2013.09.0004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nsensus.app/papers/details/81ea5494daa553f291c621fae7a26556/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arxiv.org/pdf/2107.05097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consensus.app/papers/details/5529757f849a5272a7ddd5923ceaec29/" TargetMode="External"/><Relationship Id="rId19" Type="http://schemas.openxmlformats.org/officeDocument/2006/relationships/hyperlink" Target="https://doi.org/10.1038/mp.2013.7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sensus.app/papers/details/848cbe2d6b1e54e89e3ac49c7fd55a94/" TargetMode="External"/><Relationship Id="rId14" Type="http://schemas.openxmlformats.org/officeDocument/2006/relationships/hyperlink" Target="https://arxiv.org/pdf/2206.13983" TargetMode="External"/><Relationship Id="rId22" Type="http://schemas.openxmlformats.org/officeDocument/2006/relationships/hyperlink" Target="https://doi.org/10.3389/fnsys.2012.000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1547</Words>
  <Characters>8822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Lakshmi Srinivas Devisetty</cp:lastModifiedBy>
  <cp:revision>7</cp:revision>
  <dcterms:created xsi:type="dcterms:W3CDTF">2026-10-28T05:07:00Z</dcterms:created>
  <dcterms:modified xsi:type="dcterms:W3CDTF">2026-10-28T05:37:00Z</dcterms:modified>
</cp:coreProperties>
</file>