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C3D0" w14:textId="77777777" w:rsidR="007551EC" w:rsidRPr="00FC61D1" w:rsidRDefault="007551EC" w:rsidP="007551EC">
      <w:pPr>
        <w:jc w:val="center"/>
      </w:pPr>
    </w:p>
    <w:p w14:paraId="0656C2EE" w14:textId="77777777" w:rsidR="009C70A7" w:rsidRPr="00FC61D1" w:rsidRDefault="007551EC" w:rsidP="007551EC">
      <w:pPr>
        <w:jc w:val="center"/>
      </w:pPr>
      <w:r w:rsidRPr="00FC61D1">
        <w:rPr>
          <w:noProof/>
        </w:rPr>
        <w:drawing>
          <wp:inline distT="0" distB="0" distL="0" distR="0" wp14:anchorId="4501C22D" wp14:editId="6F830FB6">
            <wp:extent cx="5229864" cy="91440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24660" cy="948459"/>
                    </a:xfrm>
                    <a:prstGeom prst="rect">
                      <a:avLst/>
                    </a:prstGeom>
                  </pic:spPr>
                </pic:pic>
              </a:graphicData>
            </a:graphic>
          </wp:inline>
        </w:drawing>
      </w:r>
    </w:p>
    <w:p w14:paraId="4980D910" w14:textId="77777777" w:rsidR="007551EC" w:rsidRPr="00FC61D1" w:rsidRDefault="007551EC" w:rsidP="007551EC">
      <w:pPr>
        <w:jc w:val="center"/>
      </w:pPr>
    </w:p>
    <w:p w14:paraId="6F1418E9" w14:textId="77777777" w:rsidR="007551EC" w:rsidRPr="00FC61D1" w:rsidRDefault="007551EC" w:rsidP="007551EC">
      <w:pPr>
        <w:jc w:val="center"/>
      </w:pPr>
    </w:p>
    <w:p w14:paraId="710C98F4" w14:textId="77777777" w:rsidR="007551EC" w:rsidRPr="00FC61D1" w:rsidRDefault="007551EC" w:rsidP="007551EC">
      <w:pPr>
        <w:jc w:val="center"/>
      </w:pPr>
    </w:p>
    <w:p w14:paraId="0B54C1A7" w14:textId="77777777" w:rsidR="007551EC" w:rsidRPr="00FC61D1" w:rsidRDefault="007551EC" w:rsidP="007551EC">
      <w:pPr>
        <w:jc w:val="center"/>
      </w:pPr>
    </w:p>
    <w:p w14:paraId="4D95E4A1" w14:textId="77777777" w:rsidR="007551EC" w:rsidRPr="00FC61D1" w:rsidRDefault="007551EC" w:rsidP="007551EC">
      <w:pPr>
        <w:jc w:val="center"/>
      </w:pPr>
    </w:p>
    <w:p w14:paraId="0A70E0D7" w14:textId="77777777" w:rsidR="007551EC" w:rsidRPr="00FC61D1" w:rsidRDefault="007551EC" w:rsidP="007551EC">
      <w:pPr>
        <w:jc w:val="center"/>
      </w:pPr>
    </w:p>
    <w:p w14:paraId="276E3E3F" w14:textId="7C25CEF0" w:rsidR="00E543F8" w:rsidRDefault="00C341CC" w:rsidP="003D4A13">
      <w:pPr>
        <w:jc w:val="center"/>
        <w:rPr>
          <w:b/>
          <w:sz w:val="28"/>
          <w:lang w:val="pt-PT"/>
        </w:rPr>
      </w:pPr>
      <w:r>
        <w:rPr>
          <w:b/>
          <w:sz w:val="28"/>
          <w:lang w:val="pt-PT"/>
        </w:rPr>
        <w:t>[Integrante 1]</w:t>
      </w:r>
    </w:p>
    <w:p w14:paraId="6D10C040" w14:textId="77777777" w:rsidR="00C341CC" w:rsidRPr="00C341CC" w:rsidRDefault="00C341CC" w:rsidP="00C341CC">
      <w:pPr>
        <w:jc w:val="center"/>
        <w:rPr>
          <w:b/>
          <w:sz w:val="28"/>
          <w:lang w:val="pt-PT"/>
        </w:rPr>
      </w:pPr>
      <w:r w:rsidRPr="00C341CC">
        <w:rPr>
          <w:b/>
          <w:sz w:val="28"/>
          <w:lang w:val="pt-PT"/>
        </w:rPr>
        <w:t>[Integrante 2]</w:t>
      </w:r>
    </w:p>
    <w:p w14:paraId="07B8C789" w14:textId="77777777" w:rsidR="00C341CC" w:rsidRPr="00C341CC" w:rsidRDefault="00C341CC" w:rsidP="00C341CC">
      <w:pPr>
        <w:jc w:val="center"/>
        <w:rPr>
          <w:b/>
          <w:sz w:val="28"/>
          <w:lang w:val="pt-PT"/>
        </w:rPr>
      </w:pPr>
      <w:r w:rsidRPr="00C341CC">
        <w:rPr>
          <w:b/>
          <w:sz w:val="28"/>
          <w:lang w:val="pt-PT"/>
        </w:rPr>
        <w:t>[Integrante 3]</w:t>
      </w:r>
    </w:p>
    <w:p w14:paraId="5A2EC1F2" w14:textId="77777777" w:rsidR="00C341CC" w:rsidRPr="00C341CC" w:rsidRDefault="00C341CC" w:rsidP="00C341CC">
      <w:pPr>
        <w:jc w:val="center"/>
        <w:rPr>
          <w:b/>
          <w:sz w:val="28"/>
          <w:lang w:val="pt-PT"/>
        </w:rPr>
      </w:pPr>
      <w:r w:rsidRPr="00C341CC">
        <w:rPr>
          <w:b/>
          <w:sz w:val="28"/>
          <w:lang w:val="pt-PT"/>
        </w:rPr>
        <w:t>[Integrante 4]</w:t>
      </w:r>
    </w:p>
    <w:p w14:paraId="17A479BF" w14:textId="77777777" w:rsidR="00C341CC" w:rsidRPr="00C341CC" w:rsidRDefault="00C341CC" w:rsidP="00C341CC">
      <w:pPr>
        <w:jc w:val="center"/>
        <w:rPr>
          <w:b/>
          <w:sz w:val="28"/>
          <w:lang w:val="pt-PT"/>
        </w:rPr>
      </w:pPr>
      <w:r w:rsidRPr="00C341CC">
        <w:rPr>
          <w:b/>
          <w:sz w:val="28"/>
          <w:lang w:val="pt-PT"/>
        </w:rPr>
        <w:t>[Integrante 5]</w:t>
      </w:r>
    </w:p>
    <w:p w14:paraId="59704553" w14:textId="4ED334FC" w:rsidR="00E543F8" w:rsidRPr="003D4A13" w:rsidRDefault="00E543F8" w:rsidP="007551EC">
      <w:pPr>
        <w:jc w:val="center"/>
        <w:rPr>
          <w:lang w:val="pt-PT"/>
        </w:rPr>
      </w:pPr>
    </w:p>
    <w:p w14:paraId="4320596B" w14:textId="77777777" w:rsidR="00E543F8" w:rsidRPr="003D4A13" w:rsidRDefault="00E543F8" w:rsidP="007551EC">
      <w:pPr>
        <w:jc w:val="center"/>
        <w:rPr>
          <w:lang w:val="pt-PT"/>
        </w:rPr>
      </w:pPr>
    </w:p>
    <w:p w14:paraId="4B1336A9" w14:textId="56DE1548" w:rsidR="007551EC" w:rsidRPr="003D4A13" w:rsidRDefault="00C341CC" w:rsidP="007551EC">
      <w:pPr>
        <w:jc w:val="center"/>
        <w:rPr>
          <w:sz w:val="36"/>
          <w:lang w:val="pt-PT"/>
        </w:rPr>
      </w:pPr>
      <w:r>
        <w:rPr>
          <w:sz w:val="36"/>
          <w:lang w:val="pt-PT"/>
        </w:rPr>
        <w:t>RePoints — Diseño de la Solución de IA</w:t>
      </w:r>
    </w:p>
    <w:p w14:paraId="3B24D49A" w14:textId="77777777" w:rsidR="00C836C1" w:rsidRPr="003D4A13" w:rsidRDefault="00C836C1" w:rsidP="007551EC">
      <w:pPr>
        <w:jc w:val="center"/>
        <w:rPr>
          <w:lang w:val="pt-PT"/>
        </w:rPr>
      </w:pPr>
    </w:p>
    <w:p w14:paraId="0EFCDE4E" w14:textId="77777777" w:rsidR="00E543F8" w:rsidRPr="003D4A13" w:rsidRDefault="00E543F8" w:rsidP="007551EC">
      <w:pPr>
        <w:jc w:val="center"/>
        <w:rPr>
          <w:b/>
          <w:bCs/>
          <w:lang w:val="pt-PT"/>
        </w:rPr>
      </w:pPr>
      <w:r w:rsidRPr="003D4A13">
        <w:rPr>
          <w:b/>
          <w:bCs/>
          <w:lang w:val="pt-PT"/>
        </w:rPr>
        <w:t xml:space="preserve">Asignatura: </w:t>
      </w:r>
    </w:p>
    <w:p w14:paraId="15E91F52" w14:textId="4B6A4A55" w:rsidR="003D4A13" w:rsidRPr="003D4A13" w:rsidRDefault="00C341CC" w:rsidP="003D4A13">
      <w:pPr>
        <w:jc w:val="center"/>
        <w:rPr>
          <w:b/>
          <w:bCs/>
        </w:rPr>
      </w:pPr>
      <w:r>
        <w:rPr>
          <w:b/>
          <w:bCs/>
        </w:rPr>
        <w:t>Sistemas Expertos — Desarrollo y Evaluación de SE</w:t>
      </w:r>
    </w:p>
    <w:p w14:paraId="2B633D1F" w14:textId="77777777" w:rsidR="007551EC" w:rsidRPr="00FC61D1" w:rsidRDefault="007551EC" w:rsidP="007551EC">
      <w:pPr>
        <w:jc w:val="center"/>
      </w:pPr>
    </w:p>
    <w:p w14:paraId="192C87CF" w14:textId="77777777" w:rsidR="007551EC" w:rsidRPr="00FC61D1" w:rsidRDefault="007551EC" w:rsidP="007551EC">
      <w:pPr>
        <w:jc w:val="center"/>
      </w:pPr>
    </w:p>
    <w:p w14:paraId="5C62D6DB" w14:textId="77777777" w:rsidR="007551EC" w:rsidRPr="00FC61D1" w:rsidRDefault="007551EC" w:rsidP="007551EC">
      <w:pPr>
        <w:jc w:val="center"/>
      </w:pPr>
    </w:p>
    <w:p w14:paraId="56D97469" w14:textId="77777777" w:rsidR="007551EC" w:rsidRPr="00FC61D1" w:rsidRDefault="007551EC" w:rsidP="007551EC">
      <w:pPr>
        <w:jc w:val="center"/>
      </w:pPr>
    </w:p>
    <w:p w14:paraId="6F53CCB7" w14:textId="77777777" w:rsidR="007551EC" w:rsidRPr="00FC61D1" w:rsidRDefault="007551EC" w:rsidP="007551EC">
      <w:pPr>
        <w:jc w:val="center"/>
      </w:pPr>
    </w:p>
    <w:p w14:paraId="7CE169E2" w14:textId="252158C4" w:rsidR="007551EC" w:rsidRPr="00FC61D1" w:rsidRDefault="00C341CC" w:rsidP="007551EC">
      <w:pPr>
        <w:jc w:val="center"/>
        <w:rPr>
          <w:sz w:val="28"/>
        </w:rPr>
      </w:pPr>
      <w:r>
        <w:rPr>
          <w:sz w:val="28"/>
        </w:rPr>
        <w:t>CARRERA DE DESARROLLO DE SOFTWARE</w:t>
      </w:r>
    </w:p>
    <w:p w14:paraId="6EA80865" w14:textId="2A466D13" w:rsidR="007551EC" w:rsidRPr="00FC61D1" w:rsidRDefault="00E543F8" w:rsidP="007551EC">
      <w:pPr>
        <w:jc w:val="center"/>
      </w:pPr>
      <w:r w:rsidRPr="00FC61D1">
        <w:t xml:space="preserve">Semestre: </w:t>
      </w:r>
      <w:r w:rsidR="00C341CC">
        <w:t>Quinto</w:t>
      </w:r>
    </w:p>
    <w:p w14:paraId="3F57104A" w14:textId="77777777" w:rsidR="007551EC" w:rsidRPr="00FC61D1" w:rsidRDefault="007551EC" w:rsidP="007551EC">
      <w:pPr>
        <w:jc w:val="center"/>
      </w:pPr>
    </w:p>
    <w:p w14:paraId="0A18BBA1" w14:textId="77777777" w:rsidR="007551EC" w:rsidRPr="00FC61D1" w:rsidRDefault="007551EC" w:rsidP="007551EC">
      <w:pPr>
        <w:jc w:val="center"/>
      </w:pPr>
    </w:p>
    <w:p w14:paraId="71E2D3AC" w14:textId="77777777" w:rsidR="007551EC" w:rsidRPr="00FC61D1" w:rsidRDefault="007551EC" w:rsidP="00E543F8"/>
    <w:p w14:paraId="25DF5291" w14:textId="77777777" w:rsidR="007551EC" w:rsidRPr="00FC61D1" w:rsidRDefault="007551EC" w:rsidP="007551EC">
      <w:pPr>
        <w:jc w:val="center"/>
      </w:pPr>
    </w:p>
    <w:p w14:paraId="036F3981" w14:textId="77777777" w:rsidR="007551EC" w:rsidRPr="00FC61D1" w:rsidRDefault="007551EC" w:rsidP="007551EC">
      <w:pPr>
        <w:jc w:val="center"/>
      </w:pPr>
    </w:p>
    <w:p w14:paraId="5CFDBF83" w14:textId="77777777" w:rsidR="007551EC" w:rsidRPr="00FC61D1" w:rsidRDefault="007551EC" w:rsidP="007551EC">
      <w:pPr>
        <w:jc w:val="center"/>
      </w:pPr>
      <w:r w:rsidRPr="00FC61D1">
        <w:t xml:space="preserve">Profesor: </w:t>
      </w:r>
    </w:p>
    <w:p w14:paraId="0DA8E088" w14:textId="46E26BA3" w:rsidR="007551EC" w:rsidRPr="00FC61D1" w:rsidRDefault="00C341CC" w:rsidP="007551EC">
      <w:pPr>
        <w:jc w:val="center"/>
      </w:pPr>
      <w:r>
        <w:t>[Nombre del profesor]</w:t>
      </w:r>
    </w:p>
    <w:p w14:paraId="22BA7004" w14:textId="77777777" w:rsidR="00E543F8" w:rsidRPr="00FC61D1" w:rsidRDefault="00E543F8" w:rsidP="007551EC">
      <w:pPr>
        <w:jc w:val="center"/>
      </w:pPr>
    </w:p>
    <w:p w14:paraId="6567FC2D" w14:textId="77777777" w:rsidR="00E543F8" w:rsidRPr="00FC61D1" w:rsidRDefault="00E543F8" w:rsidP="007551EC">
      <w:pPr>
        <w:jc w:val="center"/>
      </w:pPr>
    </w:p>
    <w:p w14:paraId="6142496D" w14:textId="77777777" w:rsidR="00E543F8" w:rsidRPr="00FC61D1" w:rsidRDefault="00E543F8" w:rsidP="00C836C1"/>
    <w:p w14:paraId="4707B6D6" w14:textId="77777777" w:rsidR="00C836C1" w:rsidRPr="00FC61D1" w:rsidRDefault="00C836C1" w:rsidP="00C836C1"/>
    <w:p w14:paraId="0DFDFA39" w14:textId="77777777" w:rsidR="00C836C1" w:rsidRPr="00FC61D1" w:rsidRDefault="00C836C1" w:rsidP="00C836C1"/>
    <w:p w14:paraId="63752550" w14:textId="239E5324" w:rsidR="00714343" w:rsidRPr="00FC61D1" w:rsidRDefault="00C341CC" w:rsidP="00684735">
      <w:pPr>
        <w:jc w:val="center"/>
      </w:pPr>
      <w:r>
        <w:t>Julio, 2026</w:t>
      </w:r>
    </w:p>
    <w:p w14:paraId="20254847" w14:textId="77777777" w:rsidR="00714343" w:rsidRPr="00FC61D1" w:rsidRDefault="00714343"/>
    <w:p w14:paraId="515299F1" w14:textId="77777777" w:rsidR="00714343" w:rsidRPr="00FC61D1" w:rsidRDefault="00714343"/>
    <w:p w14:paraId="68E89DB2" w14:textId="77777777" w:rsidR="00714343" w:rsidRPr="00FC61D1" w:rsidRDefault="00714343"/>
    <w:p w14:paraId="3EF6AC20" w14:textId="77777777" w:rsidR="00FC61D1" w:rsidRPr="00FC61D1" w:rsidRDefault="00FC61D1"/>
    <w:p w14:paraId="18362823" w14:textId="77777777" w:rsidR="00714343" w:rsidRPr="00FC61D1" w:rsidRDefault="00714343"/>
    <w:p w14:paraId="70AE7864" w14:textId="77777777" w:rsidR="00FC61D1" w:rsidRPr="00FC61D1" w:rsidRDefault="00FC61D1" w:rsidP="003F2758"/>
    <w:p w14:paraId="615309C1" w14:textId="77777777" w:rsidR="00C341CC" w:rsidRDefault="00C341CC" w:rsidP="003F2758">
      <w:pPr>
        <w:sectPr w:rsidR="00C341CC" w:rsidSect="00770B02">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541" w:footer="551" w:gutter="0"/>
          <w:cols w:space="720"/>
          <w:formProt w:val="0"/>
          <w:docGrid w:linePitch="360"/>
        </w:sectPr>
      </w:pPr>
    </w:p>
    <w:p w14:paraId="49AA25DA" w14:textId="77777777" w:rsidR="00C341CC" w:rsidRPr="00C341CC" w:rsidRDefault="00C341CC" w:rsidP="00C341CC">
      <w:pPr>
        <w:suppressAutoHyphens w:val="0"/>
        <w:rPr>
          <w:rFonts w:ascii="Times New Roman" w:eastAsia="Times New Roman" w:hAnsi="Times New Roman" w:cs="Times New Roman"/>
          <w:sz w:val="20"/>
          <w:szCs w:val="20"/>
          <w:lang w:eastAsia="es-EC"/>
        </w:rPr>
      </w:pPr>
    </w:p>
    <w:p w14:paraId="1F7AF5E3"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t>1. Definición del problema y objetivos</w:t>
      </w:r>
    </w:p>
    <w:p w14:paraId="4B37C933"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1.1 Problema</w:t>
      </w:r>
    </w:p>
    <w:p w14:paraId="362E8B29"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Actualmente la separación de residuos de plástico y vidrio dentro del campus universitario se realiza de forma manual, dependiendo del criterio de cada persona. Esto provoca contaminación cruzada entre materiales reciclables y reduce la eficiencia de los procesos de reciclaje posteriores. RePoints propone automatizar esta clasificación mediante visión por computador embebida en una Raspberry Pi 5, apoyada por un módulo de sistema experto que valida la predicción del modelo antes de aceptarla como definitiva.</w:t>
      </w:r>
    </w:p>
    <w:p w14:paraId="329D715F"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1.2 Objetivo general</w:t>
      </w:r>
    </w:p>
    <w:p w14:paraId="5D131C4E"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Diseñar una solución de inteligencia artificial capaz de clasificar en tiempo real residuos de plástico y vidrio a partir de una imagen capturada por cámara, integrando un modelo de visión por computador con un módulo de reglas (sistema experto) que valide la confianza de cada predicción antes de tomar una decisión final.</w:t>
      </w:r>
    </w:p>
    <w:p w14:paraId="4131D186"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1.3 Objetivos específicos</w:t>
      </w:r>
    </w:p>
    <w:p w14:paraId="2F3FDED1"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Seleccionar y justificar una arquitectura de red neuronal adecuada para clasificación binaria de imágenes bajo restricciones de hardware embebido (Raspberry Pi 5, sin GPU dedicada).</w:t>
      </w:r>
    </w:p>
    <w:p w14:paraId="4053C94C"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Definir un flujo de entrenamiento reproducible (partición de datos, hiperparámetros, función de pérdida y optimizador) a partir del dataset limpio y dividido documentado en el informe de análisis del dataset.</w:t>
      </w:r>
    </w:p>
    <w:p w14:paraId="695E4C7D"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Establecer una estrategia de validación basada en métricas estándar de clasificación que permita detectar sobreajuste y sesgo entre clases.</w:t>
      </w:r>
    </w:p>
    <w:p w14:paraId="61A9361E"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Identificar los riesgos técnicos propios del entorno real de despliegue (iluminación variable, fondos no controlados, materiales transparentes) y definir estrategias de mitigación.</w:t>
      </w:r>
    </w:p>
    <w:p w14:paraId="338E0D84"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1.4 Alcance</w:t>
      </w:r>
    </w:p>
    <w:p w14:paraId="6BA95B04" w14:textId="77777777" w:rsidR="00C341CC" w:rsidRPr="00C341CC" w:rsidRDefault="00C341CC" w:rsidP="00C341CC">
      <w:p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 xml:space="preserve">Tipo de clasificación: </w:t>
      </w:r>
      <w:r w:rsidRPr="00C341CC">
        <w:rPr>
          <w:rFonts w:ascii="Times New Roman" w:eastAsia="Times New Roman" w:hAnsi="Times New Roman" w:cs="Times New Roman"/>
          <w:sz w:val="20"/>
          <w:szCs w:val="20"/>
          <w:lang w:eastAsia="es-EC"/>
        </w:rPr>
        <w:t>Binaria (plástico vs. vidrio), con manejo adicional de una categoría operativa "desconocido" cuando la confianza del modelo es insuficiente.</w:t>
      </w:r>
    </w:p>
    <w:p w14:paraId="5B158F07" w14:textId="77777777" w:rsidR="00C341CC" w:rsidRPr="00C341CC" w:rsidRDefault="00C341CC" w:rsidP="00C341CC">
      <w:p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 xml:space="preserve">Entradas: </w:t>
      </w:r>
      <w:r w:rsidRPr="00C341CC">
        <w:rPr>
          <w:rFonts w:ascii="Times New Roman" w:eastAsia="Times New Roman" w:hAnsi="Times New Roman" w:cs="Times New Roman"/>
          <w:sz w:val="20"/>
          <w:szCs w:val="20"/>
          <w:lang w:eastAsia="es-EC"/>
        </w:rPr>
        <w:t>Imagen RGB de un residuo, capturada por una cámara USB conectada a la Raspberry Pi 5, en el momento en que el objeto se coloca frente al sensor.</w:t>
      </w:r>
    </w:p>
    <w:p w14:paraId="651CF301" w14:textId="77777777" w:rsidR="00C341CC" w:rsidRPr="00C341CC" w:rsidRDefault="00C341CC" w:rsidP="00C341CC">
      <w:p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 xml:space="preserve">Salidas: </w:t>
      </w:r>
      <w:r w:rsidRPr="00C341CC">
        <w:rPr>
          <w:rFonts w:ascii="Times New Roman" w:eastAsia="Times New Roman" w:hAnsi="Times New Roman" w:cs="Times New Roman"/>
          <w:sz w:val="20"/>
          <w:szCs w:val="20"/>
          <w:lang w:eastAsia="es-EC"/>
        </w:rPr>
        <w:t>Etiqueta de clase (plástico / vidrio / desconocido), probabilidad de confianza asociada, y registro del resultado en un dashboard web para su trazabilidad.</w:t>
      </w:r>
    </w:p>
    <w:p w14:paraId="22A36A0C" w14:textId="77777777" w:rsidR="00C341CC" w:rsidRPr="00C341CC" w:rsidRDefault="00C341CC" w:rsidP="00C341CC">
      <w:p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 xml:space="preserve">Fuera de alcance: </w:t>
      </w:r>
      <w:r w:rsidRPr="00C341CC">
        <w:rPr>
          <w:rFonts w:ascii="Times New Roman" w:eastAsia="Times New Roman" w:hAnsi="Times New Roman" w:cs="Times New Roman"/>
          <w:sz w:val="20"/>
          <w:szCs w:val="20"/>
          <w:lang w:eastAsia="es-EC"/>
        </w:rPr>
        <w:t>Clasificación de otros materiales (metal, papel, orgánico) y control físico de actuadores de separación, que corresponden a otras materias del proyecto integrado y no a este diseño.</w:t>
      </w:r>
    </w:p>
    <w:p w14:paraId="72280B6C"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t>2. Arquitectura del sistema</w:t>
      </w:r>
    </w:p>
    <w:p w14:paraId="054B2FDD"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La figura 1 presenta el flujo completo de la solución, desde la captura física de la imagen hasta la decisión final validada y su registro.</w:t>
      </w:r>
    </w:p>
    <w:p w14:paraId="3077EE0E" w14:textId="77777777" w:rsidR="00C341CC" w:rsidRPr="00C341CC" w:rsidRDefault="00C341CC" w:rsidP="00C341CC">
      <w:pPr>
        <w:suppressAutoHyphens w:val="0"/>
        <w:jc w:val="center"/>
        <w:rPr>
          <w:rFonts w:ascii="Times New Roman" w:eastAsia="Times New Roman" w:hAnsi="Times New Roman" w:cs="Times New Roman"/>
          <w:sz w:val="20"/>
          <w:szCs w:val="20"/>
          <w:lang w:eastAsia="es-EC"/>
        </w:rPr>
      </w:pPr>
      <w:r w:rsidRPr="00C341CC">
        <w:rPr>
          <w:rFonts w:ascii="Times New Roman" w:eastAsia="Times New Roman" w:hAnsi="Times New Roman" w:cs="Times New Roman"/>
          <w:noProof/>
          <w:sz w:val="20"/>
          <w:szCs w:val="20"/>
          <w:lang w:eastAsia="es-EC"/>
        </w:rPr>
        <w:lastRenderedPageBreak/>
        <w:drawing>
          <wp:inline distT="0" distB="0" distL="0" distR="0" wp14:anchorId="00CC88FA" wp14:editId="41AF9465">
            <wp:extent cx="5334000" cy="4038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038600"/>
                    </a:xfrm>
                    <a:prstGeom prst="rect">
                      <a:avLst/>
                    </a:prstGeom>
                  </pic:spPr>
                </pic:pic>
              </a:graphicData>
            </a:graphic>
          </wp:inline>
        </w:drawing>
      </w:r>
    </w:p>
    <w:p w14:paraId="03F44E7B" w14:textId="77777777" w:rsidR="00C341CC" w:rsidRPr="00C341CC" w:rsidRDefault="00C341CC" w:rsidP="00C341CC">
      <w:pPr>
        <w:suppressAutoHyphens w:val="0"/>
        <w:spacing w:after="240"/>
        <w:jc w:val="center"/>
        <w:rPr>
          <w:rFonts w:ascii="Times New Roman" w:eastAsia="Times New Roman" w:hAnsi="Times New Roman" w:cs="Times New Roman"/>
          <w:sz w:val="20"/>
          <w:szCs w:val="20"/>
          <w:lang w:eastAsia="es-EC"/>
        </w:rPr>
      </w:pPr>
      <w:r w:rsidRPr="00C341CC">
        <w:rPr>
          <w:rFonts w:ascii="Times New Roman" w:eastAsia="Times New Roman" w:hAnsi="Times New Roman" w:cs="Times New Roman"/>
          <w:i/>
          <w:iCs/>
          <w:color w:val="555555"/>
          <w:sz w:val="18"/>
          <w:szCs w:val="18"/>
          <w:lang w:eastAsia="es-EC"/>
        </w:rPr>
        <w:t>Figura 1. Arquitectura de la solución RePoints: pipeline de captura, preprocesamiento, inferencia, validación por sistema experto y salida.</w:t>
      </w:r>
    </w:p>
    <w:p w14:paraId="4E736B6C"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2.1 Descripción de componentes</w:t>
      </w:r>
    </w:p>
    <w:p w14:paraId="3CECE48D"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Cámara USB (hardware): sensor de captura conectado físicamente a la Raspberry Pi 5; adquiere la imagen del residuo cuando se activa la rutina de captura.</w:t>
      </w:r>
    </w:p>
    <w:p w14:paraId="6708D8A7"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Captura de imagen (Raspberry Pi 5): proceso en la propia placa que lee el frame de la cámara y lo entrega al pipeline de software para su procesamiento.</w:t>
      </w:r>
    </w:p>
    <w:p w14:paraId="596C59EE"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Preprocesamiento: redimensiona la imagen a 224×224 px (entrada esperada por MobileNetV2) y normaliza los valores de píxel al rango que exige el preprocesamiento de la red preentrenada.</w:t>
      </w:r>
    </w:p>
    <w:p w14:paraId="2CC2E271"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Modelo de IA (MobileNetV2, exportado a TensorFlow Lite): recibe el tensor preprocesado y produce una probabilidad por clase (plástico / vidrio).</w:t>
      </w:r>
    </w:p>
    <w:p w14:paraId="4B75E0DE"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Clasificación: combina la clase de mayor probabilidad con su nivel de confianza asociado, insumo directo para el sistema experto.</w:t>
      </w:r>
    </w:p>
    <w:p w14:paraId="044079FF"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Sistema experto (reglas de confianza): valida la predicción aplicando umbrales — confianza ≥85% acepta la clase directamente; 60-84% solicita una recaptura de la imagen; &lt;60% marca el resultado como "desconocido" en vez de forzar una clasificación poco confiable.</w:t>
      </w:r>
    </w:p>
    <w:p w14:paraId="3894DAD8"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Decisión final e integración con hardware/dashboard: una vez validada, la clase se registra y visualiza en un dashboard web, quedando disponible como evidencia para las materias de Tecnologías de Plataforma y Manejo y Desarrollo de Proyectos del mismo proyecto integrador.</w:t>
      </w:r>
    </w:p>
    <w:p w14:paraId="419C5494"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Esta separación entre "modelo que predice" y "sistema experto que decide" es intencional: permite ajustar el umbral de aceptación sin reentrenar el modelo, y da trazabilidad explícita a los casos límite (confianza media/baja) en vez de forzar siempre una respuesta binaria.</w:t>
      </w:r>
    </w:p>
    <w:p w14:paraId="25658FE1"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lastRenderedPageBreak/>
        <w:t>3. Modelo seleccionado y justificación</w:t>
      </w:r>
    </w:p>
    <w:p w14:paraId="444D639C"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3.1 Alternativas consideradas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C341CC" w:rsidRPr="00C341CC" w14:paraId="6C02ED2A" w14:textId="77777777" w:rsidTr="005E3C84">
        <w:tblPrEx>
          <w:tblCellMar>
            <w:top w:w="0" w:type="dxa"/>
            <w:bottom w:w="0" w:type="dxa"/>
          </w:tblCellMar>
        </w:tblPrEx>
        <w:trPr>
          <w:tblHeader/>
        </w:trPr>
        <w:tc>
          <w:tcPr>
            <w:tcW w:w="2400" w:type="dxa"/>
            <w:shd w:val="clear" w:color="auto" w:fill="EAF1FB"/>
            <w:tcMar>
              <w:top w:w="80" w:type="dxa"/>
              <w:left w:w="100" w:type="dxa"/>
              <w:bottom w:w="80" w:type="dxa"/>
              <w:right w:w="100" w:type="dxa"/>
            </w:tcMar>
            <w:vAlign w:val="center"/>
          </w:tcPr>
          <w:p w14:paraId="67F32C5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Modelo</w:t>
            </w:r>
          </w:p>
        </w:tc>
        <w:tc>
          <w:tcPr>
            <w:tcW w:w="3200" w:type="dxa"/>
            <w:shd w:val="clear" w:color="auto" w:fill="EAF1FB"/>
            <w:tcMar>
              <w:top w:w="80" w:type="dxa"/>
              <w:left w:w="100" w:type="dxa"/>
              <w:bottom w:w="80" w:type="dxa"/>
              <w:right w:w="100" w:type="dxa"/>
            </w:tcMar>
            <w:vAlign w:val="center"/>
          </w:tcPr>
          <w:p w14:paraId="76F8E92F"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Ventaja principal</w:t>
            </w:r>
          </w:p>
        </w:tc>
        <w:tc>
          <w:tcPr>
            <w:tcW w:w="3760" w:type="dxa"/>
            <w:shd w:val="clear" w:color="auto" w:fill="EAF1FB"/>
            <w:tcMar>
              <w:top w:w="80" w:type="dxa"/>
              <w:left w:w="100" w:type="dxa"/>
              <w:bottom w:w="80" w:type="dxa"/>
              <w:right w:w="100" w:type="dxa"/>
            </w:tcMar>
            <w:vAlign w:val="center"/>
          </w:tcPr>
          <w:p w14:paraId="4616994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Motivo de descarte / uso</w:t>
            </w:r>
          </w:p>
        </w:tc>
      </w:tr>
      <w:tr w:rsidR="00C341CC" w:rsidRPr="00C341CC" w14:paraId="4AFDE23D"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4751633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CNN propia (desde cero)</w:t>
            </w:r>
          </w:p>
        </w:tc>
        <w:tc>
          <w:tcPr>
            <w:tcW w:w="3200" w:type="dxa"/>
            <w:tcMar>
              <w:top w:w="80" w:type="dxa"/>
              <w:left w:w="100" w:type="dxa"/>
              <w:bottom w:w="80" w:type="dxa"/>
              <w:right w:w="100" w:type="dxa"/>
            </w:tcMar>
            <w:vAlign w:val="center"/>
          </w:tcPr>
          <w:p w14:paraId="1856F6E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Control total de la arquitectura</w:t>
            </w:r>
          </w:p>
        </w:tc>
        <w:tc>
          <w:tcPr>
            <w:tcW w:w="3760" w:type="dxa"/>
            <w:tcMar>
              <w:top w:w="80" w:type="dxa"/>
              <w:left w:w="100" w:type="dxa"/>
              <w:bottom w:w="80" w:type="dxa"/>
              <w:right w:w="100" w:type="dxa"/>
            </w:tcMar>
            <w:vAlign w:val="center"/>
          </w:tcPr>
          <w:p w14:paraId="5B4A431F"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Requeriría mucho más datos y tiempo de entrenamiento para igualar la precisión de un modelo preentrenado; el dataset actual (2670 imágenes) es pequeño para entrenar desde cero de forma robusta.</w:t>
            </w:r>
          </w:p>
        </w:tc>
      </w:tr>
      <w:tr w:rsidR="00C341CC" w:rsidRPr="00C341CC" w14:paraId="6CBCD9B3"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08DD202C"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MobileNetV2 (transfer learning)</w:t>
            </w:r>
          </w:p>
        </w:tc>
        <w:tc>
          <w:tcPr>
            <w:tcW w:w="3200" w:type="dxa"/>
            <w:tcMar>
              <w:top w:w="80" w:type="dxa"/>
              <w:left w:w="100" w:type="dxa"/>
              <w:bottom w:w="80" w:type="dxa"/>
              <w:right w:w="100" w:type="dxa"/>
            </w:tcMar>
            <w:vAlign w:val="center"/>
          </w:tcPr>
          <w:p w14:paraId="2627DB9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Muy liviana, diseñada para dispositivos embebidos; excelente relación precisión/costo computacional</w:t>
            </w:r>
          </w:p>
        </w:tc>
        <w:tc>
          <w:tcPr>
            <w:tcW w:w="3760" w:type="dxa"/>
            <w:tcMar>
              <w:top w:w="80" w:type="dxa"/>
              <w:left w:w="100" w:type="dxa"/>
              <w:bottom w:w="80" w:type="dxa"/>
              <w:right w:w="100" w:type="dxa"/>
            </w:tcMar>
            <w:vAlign w:val="center"/>
          </w:tcPr>
          <w:p w14:paraId="621F7AF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Seleccionada — ver justificación en 3.2.</w:t>
            </w:r>
          </w:p>
        </w:tc>
      </w:tr>
      <w:tr w:rsidR="00C341CC" w:rsidRPr="00C341CC" w14:paraId="4427C606"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23F899EC"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MobileNetV3</w:t>
            </w:r>
          </w:p>
        </w:tc>
        <w:tc>
          <w:tcPr>
            <w:tcW w:w="3200" w:type="dxa"/>
            <w:tcMar>
              <w:top w:w="80" w:type="dxa"/>
              <w:left w:w="100" w:type="dxa"/>
              <w:bottom w:w="80" w:type="dxa"/>
              <w:right w:w="100" w:type="dxa"/>
            </w:tcMar>
            <w:vAlign w:val="center"/>
          </w:tcPr>
          <w:p w14:paraId="1335A9CF"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Ligeras mejoras de eficiencia sobre V2</w:t>
            </w:r>
          </w:p>
        </w:tc>
        <w:tc>
          <w:tcPr>
            <w:tcW w:w="3760" w:type="dxa"/>
            <w:tcMar>
              <w:top w:w="80" w:type="dxa"/>
              <w:left w:w="100" w:type="dxa"/>
              <w:bottom w:w="80" w:type="dxa"/>
              <w:right w:w="100" w:type="dxa"/>
            </w:tcMar>
            <w:vAlign w:val="center"/>
          </w:tcPr>
          <w:p w14:paraId="0CC0311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Alternativa válida de segunda opción; se prioriza V2 por mayor soporte y documentación estable en TensorFlow Lite.</w:t>
            </w:r>
          </w:p>
        </w:tc>
      </w:tr>
      <w:tr w:rsidR="00C341CC" w:rsidRPr="00C341CC" w14:paraId="190E2AF0"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44E4B46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EfficientNet (B0)</w:t>
            </w:r>
          </w:p>
        </w:tc>
        <w:tc>
          <w:tcPr>
            <w:tcW w:w="3200" w:type="dxa"/>
            <w:tcMar>
              <w:top w:w="80" w:type="dxa"/>
              <w:left w:w="100" w:type="dxa"/>
              <w:bottom w:w="80" w:type="dxa"/>
              <w:right w:w="100" w:type="dxa"/>
            </w:tcMar>
            <w:vAlign w:val="center"/>
          </w:tcPr>
          <w:p w14:paraId="14E91C8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Mejor precisión relativa a su tamaño en benchmarks generales</w:t>
            </w:r>
          </w:p>
        </w:tc>
        <w:tc>
          <w:tcPr>
            <w:tcW w:w="3760" w:type="dxa"/>
            <w:tcMar>
              <w:top w:w="80" w:type="dxa"/>
              <w:left w:w="100" w:type="dxa"/>
              <w:bottom w:w="80" w:type="dxa"/>
              <w:right w:w="100" w:type="dxa"/>
            </w:tcMar>
            <w:vAlign w:val="center"/>
          </w:tcPr>
          <w:p w14:paraId="4DF70881"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Mayor costo computacional y de memoria que MobileNetV2 para una ganancia marginal en un problema binario relativamente simple.</w:t>
            </w:r>
          </w:p>
        </w:tc>
      </w:tr>
      <w:tr w:rsidR="00C341CC" w:rsidRPr="00C341CC" w14:paraId="4E1A6947"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4F91E625"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YOLO</w:t>
            </w:r>
          </w:p>
        </w:tc>
        <w:tc>
          <w:tcPr>
            <w:tcW w:w="3200" w:type="dxa"/>
            <w:tcMar>
              <w:top w:w="80" w:type="dxa"/>
              <w:left w:w="100" w:type="dxa"/>
              <w:bottom w:w="80" w:type="dxa"/>
              <w:right w:w="100" w:type="dxa"/>
            </w:tcMar>
            <w:vAlign w:val="center"/>
          </w:tcPr>
          <w:p w14:paraId="2B36F2AF"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Excelente para detección con localización (bounding boxes)</w:t>
            </w:r>
          </w:p>
        </w:tc>
        <w:tc>
          <w:tcPr>
            <w:tcW w:w="3760" w:type="dxa"/>
            <w:tcMar>
              <w:top w:w="80" w:type="dxa"/>
              <w:left w:w="100" w:type="dxa"/>
              <w:bottom w:w="80" w:type="dxa"/>
              <w:right w:w="100" w:type="dxa"/>
            </w:tcMar>
            <w:vAlign w:val="center"/>
          </w:tcPr>
          <w:p w14:paraId="7608E3DC"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Diseñado para detección de múltiples objetos en una escena; este proyecto es clasificación de un único objeto centrado, por lo que añadiría complejidad innecesaria.</w:t>
            </w:r>
          </w:p>
        </w:tc>
      </w:tr>
      <w:tr w:rsidR="00C341CC" w:rsidRPr="00C341CC" w14:paraId="78E9993E"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6645BA75"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Edge Impulse (plataforma)</w:t>
            </w:r>
          </w:p>
        </w:tc>
        <w:tc>
          <w:tcPr>
            <w:tcW w:w="3200" w:type="dxa"/>
            <w:tcMar>
              <w:top w:w="80" w:type="dxa"/>
              <w:left w:w="100" w:type="dxa"/>
              <w:bottom w:w="80" w:type="dxa"/>
              <w:right w:w="100" w:type="dxa"/>
            </w:tcMar>
            <w:vAlign w:val="center"/>
          </w:tcPr>
          <w:p w14:paraId="1C0F096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Entrenamiento y despliegue guiado sin código</w:t>
            </w:r>
          </w:p>
        </w:tc>
        <w:tc>
          <w:tcPr>
            <w:tcW w:w="3760" w:type="dxa"/>
            <w:tcMar>
              <w:top w:w="80" w:type="dxa"/>
              <w:left w:w="100" w:type="dxa"/>
              <w:bottom w:w="80" w:type="dxa"/>
              <w:right w:w="100" w:type="dxa"/>
            </w:tcMar>
            <w:vAlign w:val="center"/>
          </w:tcPr>
          <w:p w14:paraId="07E8614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Útil como alternativa de prototipado rápido, pero se prefiere control directo del pipeline (Python/TensorFlow) para ajustar hiperparámetros con precisión.</w:t>
            </w:r>
          </w:p>
        </w:tc>
      </w:tr>
    </w:tbl>
    <w:p w14:paraId="34A8CA4C"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p>
    <w:p w14:paraId="4A65994E"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3.2 Justificación de MobileNetV2</w:t>
      </w:r>
    </w:p>
    <w:p w14:paraId="36B71B0E"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Recursos computacionales: la Raspberry Pi 5 no cuenta con GPU dedicada; MobileNetV2 usa convoluciones separables en profundidad (depthwise separable convolutions), lo que reduce drásticamente el número de parámetros (~3.4M) y operaciones frente a redes clásicas (VGG, ResNet), permitiendo inferencia en CPU en tiempos de cientos de milisegundos.</w:t>
      </w:r>
    </w:p>
    <w:p w14:paraId="2995BA22"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Precisión esperada: para un problema binario con clases visualmente distinguibles (forma, color, transparencia), el transfer learning desde ImageNet ya provee filtros de bajo/medio nivel (bordes, texturas, transparencias) reutilizables, por lo que se espera una precisión de validación alta (&gt;90%) incluso con un dataset de tamaño moderado.</w:t>
      </w:r>
    </w:p>
    <w:p w14:paraId="70128037"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Tiempo de inferencia: al exportar el modelo entrenado a TensorFlow Lite (formato .tflite) se habilita cuantización (float16 / int8), reduciendo aún más el tamaño del modelo y el tiempo de inferencia en la Raspberry Pi, un requisito crítico para una clasificación en tiempo real.</w:t>
      </w:r>
    </w:p>
    <w:p w14:paraId="10CDC455"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Factibilidad de implementación: MobileNetV2 tiene soporte de primera clase en TensorFlow/Keras y en TensorFlow Lite, con abundante documentación y ejemplos de despliegue en Raspberry Pi, lo que reduce el riesgo técnico de esta fase del proyecto.</w:t>
      </w:r>
    </w:p>
    <w:p w14:paraId="40F19837"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t>4. Flujo de entrenamiento</w:t>
      </w:r>
    </w:p>
    <w:p w14:paraId="0F695DAF"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lastRenderedPageBreak/>
        <w:t>4.1 División del dataset</w:t>
      </w:r>
    </w:p>
    <w:p w14:paraId="583BC509"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Se reutiliza la partición estratificada 70/15/15 (entrenamiento/validación/prueba) documentada y ya generada en el informe de análisis del dataset, con semilla fija (random_state=42) para garantizar reproducibilidad: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800"/>
        <w:gridCol w:w="1960"/>
      </w:tblGrid>
      <w:tr w:rsidR="00C341CC" w:rsidRPr="00C341CC" w14:paraId="668C5E46" w14:textId="77777777" w:rsidTr="005E3C84">
        <w:tblPrEx>
          <w:tblCellMar>
            <w:top w:w="0" w:type="dxa"/>
            <w:bottom w:w="0" w:type="dxa"/>
          </w:tblCellMar>
        </w:tblPrEx>
        <w:trPr>
          <w:tblHeader/>
        </w:trPr>
        <w:tc>
          <w:tcPr>
            <w:tcW w:w="2200" w:type="dxa"/>
            <w:shd w:val="clear" w:color="auto" w:fill="EAF1FB"/>
            <w:tcMar>
              <w:top w:w="80" w:type="dxa"/>
              <w:left w:w="100" w:type="dxa"/>
              <w:bottom w:w="80" w:type="dxa"/>
              <w:right w:w="100" w:type="dxa"/>
            </w:tcMar>
            <w:vAlign w:val="center"/>
          </w:tcPr>
          <w:p w14:paraId="0802C88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Conjunto</w:t>
            </w:r>
          </w:p>
        </w:tc>
        <w:tc>
          <w:tcPr>
            <w:tcW w:w="1600" w:type="dxa"/>
            <w:shd w:val="clear" w:color="auto" w:fill="EAF1FB"/>
            <w:tcMar>
              <w:top w:w="80" w:type="dxa"/>
              <w:left w:w="100" w:type="dxa"/>
              <w:bottom w:w="80" w:type="dxa"/>
              <w:right w:w="100" w:type="dxa"/>
            </w:tcMar>
            <w:vAlign w:val="center"/>
          </w:tcPr>
          <w:p w14:paraId="6DD3D03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Porcentaje</w:t>
            </w:r>
          </w:p>
        </w:tc>
        <w:tc>
          <w:tcPr>
            <w:tcW w:w="1800" w:type="dxa"/>
            <w:shd w:val="clear" w:color="auto" w:fill="EAF1FB"/>
            <w:tcMar>
              <w:top w:w="80" w:type="dxa"/>
              <w:left w:w="100" w:type="dxa"/>
              <w:bottom w:w="80" w:type="dxa"/>
              <w:right w:w="100" w:type="dxa"/>
            </w:tcMar>
            <w:vAlign w:val="center"/>
          </w:tcPr>
          <w:p w14:paraId="71E79A6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Plástico</w:t>
            </w:r>
          </w:p>
        </w:tc>
        <w:tc>
          <w:tcPr>
            <w:tcW w:w="1800" w:type="dxa"/>
            <w:shd w:val="clear" w:color="auto" w:fill="EAF1FB"/>
            <w:tcMar>
              <w:top w:w="80" w:type="dxa"/>
              <w:left w:w="100" w:type="dxa"/>
              <w:bottom w:w="80" w:type="dxa"/>
              <w:right w:w="100" w:type="dxa"/>
            </w:tcMar>
            <w:vAlign w:val="center"/>
          </w:tcPr>
          <w:p w14:paraId="5D1B6C1C"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Vidrio</w:t>
            </w:r>
          </w:p>
        </w:tc>
        <w:tc>
          <w:tcPr>
            <w:tcW w:w="1960" w:type="dxa"/>
            <w:shd w:val="clear" w:color="auto" w:fill="EAF1FB"/>
            <w:tcMar>
              <w:top w:w="80" w:type="dxa"/>
              <w:left w:w="100" w:type="dxa"/>
              <w:bottom w:w="80" w:type="dxa"/>
              <w:right w:w="100" w:type="dxa"/>
            </w:tcMar>
            <w:vAlign w:val="center"/>
          </w:tcPr>
          <w:p w14:paraId="000F506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Total</w:t>
            </w:r>
          </w:p>
        </w:tc>
      </w:tr>
      <w:tr w:rsidR="00C341CC" w:rsidRPr="00C341CC" w14:paraId="1C1EC746" w14:textId="77777777" w:rsidTr="005E3C84">
        <w:tblPrEx>
          <w:tblCellMar>
            <w:top w:w="0" w:type="dxa"/>
            <w:bottom w:w="0" w:type="dxa"/>
          </w:tblCellMar>
        </w:tblPrEx>
        <w:tc>
          <w:tcPr>
            <w:tcW w:w="2200" w:type="dxa"/>
            <w:tcMar>
              <w:top w:w="80" w:type="dxa"/>
              <w:left w:w="100" w:type="dxa"/>
              <w:bottom w:w="80" w:type="dxa"/>
              <w:right w:w="100" w:type="dxa"/>
            </w:tcMar>
            <w:vAlign w:val="center"/>
          </w:tcPr>
          <w:p w14:paraId="3209A1FC"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Entrenamiento</w:t>
            </w:r>
          </w:p>
        </w:tc>
        <w:tc>
          <w:tcPr>
            <w:tcW w:w="1600" w:type="dxa"/>
            <w:tcMar>
              <w:top w:w="80" w:type="dxa"/>
              <w:left w:w="100" w:type="dxa"/>
              <w:bottom w:w="80" w:type="dxa"/>
              <w:right w:w="100" w:type="dxa"/>
            </w:tcMar>
            <w:vAlign w:val="center"/>
          </w:tcPr>
          <w:p w14:paraId="3698200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70%</w:t>
            </w:r>
          </w:p>
        </w:tc>
        <w:tc>
          <w:tcPr>
            <w:tcW w:w="1800" w:type="dxa"/>
            <w:tcMar>
              <w:top w:w="80" w:type="dxa"/>
              <w:left w:w="100" w:type="dxa"/>
              <w:bottom w:w="80" w:type="dxa"/>
              <w:right w:w="100" w:type="dxa"/>
            </w:tcMar>
            <w:vAlign w:val="center"/>
          </w:tcPr>
          <w:p w14:paraId="0510AFF1"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1006</w:t>
            </w:r>
          </w:p>
        </w:tc>
        <w:tc>
          <w:tcPr>
            <w:tcW w:w="1800" w:type="dxa"/>
            <w:tcMar>
              <w:top w:w="80" w:type="dxa"/>
              <w:left w:w="100" w:type="dxa"/>
              <w:bottom w:w="80" w:type="dxa"/>
              <w:right w:w="100" w:type="dxa"/>
            </w:tcMar>
            <w:vAlign w:val="center"/>
          </w:tcPr>
          <w:p w14:paraId="6C3A616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862</w:t>
            </w:r>
          </w:p>
        </w:tc>
        <w:tc>
          <w:tcPr>
            <w:tcW w:w="1960" w:type="dxa"/>
            <w:tcMar>
              <w:top w:w="80" w:type="dxa"/>
              <w:left w:w="100" w:type="dxa"/>
              <w:bottom w:w="80" w:type="dxa"/>
              <w:right w:w="100" w:type="dxa"/>
            </w:tcMar>
            <w:vAlign w:val="center"/>
          </w:tcPr>
          <w:p w14:paraId="16B796B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1868</w:t>
            </w:r>
          </w:p>
        </w:tc>
      </w:tr>
      <w:tr w:rsidR="00C341CC" w:rsidRPr="00C341CC" w14:paraId="08F9EA36" w14:textId="77777777" w:rsidTr="005E3C84">
        <w:tblPrEx>
          <w:tblCellMar>
            <w:top w:w="0" w:type="dxa"/>
            <w:bottom w:w="0" w:type="dxa"/>
          </w:tblCellMar>
        </w:tblPrEx>
        <w:tc>
          <w:tcPr>
            <w:tcW w:w="2200" w:type="dxa"/>
            <w:tcMar>
              <w:top w:w="80" w:type="dxa"/>
              <w:left w:w="100" w:type="dxa"/>
              <w:bottom w:w="80" w:type="dxa"/>
              <w:right w:w="100" w:type="dxa"/>
            </w:tcMar>
            <w:vAlign w:val="center"/>
          </w:tcPr>
          <w:p w14:paraId="63CF908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Validación</w:t>
            </w:r>
          </w:p>
        </w:tc>
        <w:tc>
          <w:tcPr>
            <w:tcW w:w="1600" w:type="dxa"/>
            <w:tcMar>
              <w:top w:w="80" w:type="dxa"/>
              <w:left w:w="100" w:type="dxa"/>
              <w:bottom w:w="80" w:type="dxa"/>
              <w:right w:w="100" w:type="dxa"/>
            </w:tcMar>
            <w:vAlign w:val="center"/>
          </w:tcPr>
          <w:p w14:paraId="2CE7C16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15%</w:t>
            </w:r>
          </w:p>
        </w:tc>
        <w:tc>
          <w:tcPr>
            <w:tcW w:w="1800" w:type="dxa"/>
            <w:tcMar>
              <w:top w:w="80" w:type="dxa"/>
              <w:left w:w="100" w:type="dxa"/>
              <w:bottom w:w="80" w:type="dxa"/>
              <w:right w:w="100" w:type="dxa"/>
            </w:tcMar>
            <w:vAlign w:val="center"/>
          </w:tcPr>
          <w:p w14:paraId="51F2DDF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215</w:t>
            </w:r>
          </w:p>
        </w:tc>
        <w:tc>
          <w:tcPr>
            <w:tcW w:w="1800" w:type="dxa"/>
            <w:tcMar>
              <w:top w:w="80" w:type="dxa"/>
              <w:left w:w="100" w:type="dxa"/>
              <w:bottom w:w="80" w:type="dxa"/>
              <w:right w:w="100" w:type="dxa"/>
            </w:tcMar>
            <w:vAlign w:val="center"/>
          </w:tcPr>
          <w:p w14:paraId="6D3A0EE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184</w:t>
            </w:r>
          </w:p>
        </w:tc>
        <w:tc>
          <w:tcPr>
            <w:tcW w:w="1960" w:type="dxa"/>
            <w:tcMar>
              <w:top w:w="80" w:type="dxa"/>
              <w:left w:w="100" w:type="dxa"/>
              <w:bottom w:w="80" w:type="dxa"/>
              <w:right w:w="100" w:type="dxa"/>
            </w:tcMar>
            <w:vAlign w:val="center"/>
          </w:tcPr>
          <w:p w14:paraId="675A299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399</w:t>
            </w:r>
          </w:p>
        </w:tc>
      </w:tr>
      <w:tr w:rsidR="00C341CC" w:rsidRPr="00C341CC" w14:paraId="2DB45EA5" w14:textId="77777777" w:rsidTr="005E3C84">
        <w:tblPrEx>
          <w:tblCellMar>
            <w:top w:w="0" w:type="dxa"/>
            <w:bottom w:w="0" w:type="dxa"/>
          </w:tblCellMar>
        </w:tblPrEx>
        <w:tc>
          <w:tcPr>
            <w:tcW w:w="2200" w:type="dxa"/>
            <w:tcMar>
              <w:top w:w="80" w:type="dxa"/>
              <w:left w:w="100" w:type="dxa"/>
              <w:bottom w:w="80" w:type="dxa"/>
              <w:right w:w="100" w:type="dxa"/>
            </w:tcMar>
            <w:vAlign w:val="center"/>
          </w:tcPr>
          <w:p w14:paraId="769ACC1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Prueba</w:t>
            </w:r>
          </w:p>
        </w:tc>
        <w:tc>
          <w:tcPr>
            <w:tcW w:w="1600" w:type="dxa"/>
            <w:tcMar>
              <w:top w:w="80" w:type="dxa"/>
              <w:left w:w="100" w:type="dxa"/>
              <w:bottom w:w="80" w:type="dxa"/>
              <w:right w:w="100" w:type="dxa"/>
            </w:tcMar>
            <w:vAlign w:val="center"/>
          </w:tcPr>
          <w:p w14:paraId="2B95851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15%</w:t>
            </w:r>
          </w:p>
        </w:tc>
        <w:tc>
          <w:tcPr>
            <w:tcW w:w="1800" w:type="dxa"/>
            <w:tcMar>
              <w:top w:w="80" w:type="dxa"/>
              <w:left w:w="100" w:type="dxa"/>
              <w:bottom w:w="80" w:type="dxa"/>
              <w:right w:w="100" w:type="dxa"/>
            </w:tcMar>
            <w:vAlign w:val="center"/>
          </w:tcPr>
          <w:p w14:paraId="221EEC3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217</w:t>
            </w:r>
          </w:p>
        </w:tc>
        <w:tc>
          <w:tcPr>
            <w:tcW w:w="1800" w:type="dxa"/>
            <w:tcMar>
              <w:top w:w="80" w:type="dxa"/>
              <w:left w:w="100" w:type="dxa"/>
              <w:bottom w:w="80" w:type="dxa"/>
              <w:right w:w="100" w:type="dxa"/>
            </w:tcMar>
            <w:vAlign w:val="center"/>
          </w:tcPr>
          <w:p w14:paraId="1758CA4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186</w:t>
            </w:r>
          </w:p>
        </w:tc>
        <w:tc>
          <w:tcPr>
            <w:tcW w:w="1960" w:type="dxa"/>
            <w:tcMar>
              <w:top w:w="80" w:type="dxa"/>
              <w:left w:w="100" w:type="dxa"/>
              <w:bottom w:w="80" w:type="dxa"/>
              <w:right w:w="100" w:type="dxa"/>
            </w:tcMar>
            <w:vAlign w:val="center"/>
          </w:tcPr>
          <w:p w14:paraId="4455E16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403</w:t>
            </w:r>
          </w:p>
        </w:tc>
      </w:tr>
      <w:tr w:rsidR="00C341CC" w:rsidRPr="00C341CC" w14:paraId="0B8D2B40" w14:textId="77777777" w:rsidTr="005E3C84">
        <w:tblPrEx>
          <w:tblCellMar>
            <w:top w:w="0" w:type="dxa"/>
            <w:bottom w:w="0" w:type="dxa"/>
          </w:tblCellMar>
        </w:tblPrEx>
        <w:tc>
          <w:tcPr>
            <w:tcW w:w="2200" w:type="dxa"/>
            <w:tcMar>
              <w:top w:w="80" w:type="dxa"/>
              <w:left w:w="100" w:type="dxa"/>
              <w:bottom w:w="80" w:type="dxa"/>
              <w:right w:w="100" w:type="dxa"/>
            </w:tcMar>
            <w:vAlign w:val="center"/>
          </w:tcPr>
          <w:p w14:paraId="7B9FA4F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Total</w:t>
            </w:r>
          </w:p>
        </w:tc>
        <w:tc>
          <w:tcPr>
            <w:tcW w:w="1600" w:type="dxa"/>
            <w:tcMar>
              <w:top w:w="80" w:type="dxa"/>
              <w:left w:w="100" w:type="dxa"/>
              <w:bottom w:w="80" w:type="dxa"/>
              <w:right w:w="100" w:type="dxa"/>
            </w:tcMar>
            <w:vAlign w:val="center"/>
          </w:tcPr>
          <w:p w14:paraId="3687E34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100%</w:t>
            </w:r>
          </w:p>
        </w:tc>
        <w:tc>
          <w:tcPr>
            <w:tcW w:w="1800" w:type="dxa"/>
            <w:tcMar>
              <w:top w:w="80" w:type="dxa"/>
              <w:left w:w="100" w:type="dxa"/>
              <w:bottom w:w="80" w:type="dxa"/>
              <w:right w:w="100" w:type="dxa"/>
            </w:tcMar>
            <w:vAlign w:val="center"/>
          </w:tcPr>
          <w:p w14:paraId="1627154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1438</w:t>
            </w:r>
          </w:p>
        </w:tc>
        <w:tc>
          <w:tcPr>
            <w:tcW w:w="1800" w:type="dxa"/>
            <w:tcMar>
              <w:top w:w="80" w:type="dxa"/>
              <w:left w:w="100" w:type="dxa"/>
              <w:bottom w:w="80" w:type="dxa"/>
              <w:right w:w="100" w:type="dxa"/>
            </w:tcMar>
            <w:vAlign w:val="center"/>
          </w:tcPr>
          <w:p w14:paraId="7469042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1232</w:t>
            </w:r>
          </w:p>
        </w:tc>
        <w:tc>
          <w:tcPr>
            <w:tcW w:w="1960" w:type="dxa"/>
            <w:tcMar>
              <w:top w:w="80" w:type="dxa"/>
              <w:left w:w="100" w:type="dxa"/>
              <w:bottom w:w="80" w:type="dxa"/>
              <w:right w:w="100" w:type="dxa"/>
            </w:tcMar>
            <w:vAlign w:val="center"/>
          </w:tcPr>
          <w:p w14:paraId="7BD09265"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2670</w:t>
            </w:r>
          </w:p>
        </w:tc>
      </w:tr>
    </w:tbl>
    <w:p w14:paraId="41C0E1C9"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p>
    <w:p w14:paraId="1FA2A3F4" w14:textId="77777777" w:rsidR="00C341CC" w:rsidRPr="00C341CC" w:rsidRDefault="00C341CC" w:rsidP="00C341CC">
      <w:pPr>
        <w:suppressAutoHyphens w:val="0"/>
        <w:spacing w:before="240" w:after="120"/>
        <w:outlineLvl w:val="1"/>
        <w:rPr>
          <w:rFonts w:ascii="Times New Roman" w:eastAsia="Times New Roman" w:hAnsi="Times New Roman" w:cs="Times New Roman"/>
          <w:color w:val="2E74B5"/>
          <w:sz w:val="26"/>
          <w:szCs w:val="26"/>
          <w:lang w:eastAsia="es-EC"/>
        </w:rPr>
      </w:pPr>
      <w:r w:rsidRPr="00C341CC">
        <w:rPr>
          <w:rFonts w:ascii="Times New Roman" w:eastAsia="Times New Roman" w:hAnsi="Times New Roman" w:cs="Times New Roman"/>
          <w:color w:val="2E74B5"/>
          <w:sz w:val="26"/>
          <w:szCs w:val="26"/>
          <w:lang w:eastAsia="es-EC"/>
        </w:rPr>
        <w:t>4.2 Hiperparámetros e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C341CC" w:rsidRPr="00C341CC" w14:paraId="04AD3A1F" w14:textId="77777777" w:rsidTr="005E3C84">
        <w:tblPrEx>
          <w:tblCellMar>
            <w:top w:w="0" w:type="dxa"/>
            <w:bottom w:w="0" w:type="dxa"/>
          </w:tblCellMar>
        </w:tblPrEx>
        <w:trPr>
          <w:tblHeader/>
        </w:trPr>
        <w:tc>
          <w:tcPr>
            <w:tcW w:w="2400" w:type="dxa"/>
            <w:shd w:val="clear" w:color="auto" w:fill="EAF1FB"/>
            <w:tcMar>
              <w:top w:w="80" w:type="dxa"/>
              <w:left w:w="100" w:type="dxa"/>
              <w:bottom w:w="80" w:type="dxa"/>
              <w:right w:w="100" w:type="dxa"/>
            </w:tcMar>
            <w:vAlign w:val="center"/>
          </w:tcPr>
          <w:p w14:paraId="3D788981"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Parámetro</w:t>
            </w:r>
          </w:p>
        </w:tc>
        <w:tc>
          <w:tcPr>
            <w:tcW w:w="3600" w:type="dxa"/>
            <w:shd w:val="clear" w:color="auto" w:fill="EAF1FB"/>
            <w:tcMar>
              <w:top w:w="80" w:type="dxa"/>
              <w:left w:w="100" w:type="dxa"/>
              <w:bottom w:w="80" w:type="dxa"/>
              <w:right w:w="100" w:type="dxa"/>
            </w:tcMar>
            <w:vAlign w:val="center"/>
          </w:tcPr>
          <w:p w14:paraId="543FE6BD"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Valor definido</w:t>
            </w:r>
          </w:p>
        </w:tc>
        <w:tc>
          <w:tcPr>
            <w:tcW w:w="3360" w:type="dxa"/>
            <w:shd w:val="clear" w:color="auto" w:fill="EAF1FB"/>
            <w:tcMar>
              <w:top w:w="80" w:type="dxa"/>
              <w:left w:w="100" w:type="dxa"/>
              <w:bottom w:w="80" w:type="dxa"/>
              <w:right w:w="100" w:type="dxa"/>
            </w:tcMar>
            <w:vAlign w:val="center"/>
          </w:tcPr>
          <w:p w14:paraId="3283C87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Justificación breve</w:t>
            </w:r>
          </w:p>
        </w:tc>
      </w:tr>
      <w:tr w:rsidR="00C341CC" w:rsidRPr="00C341CC" w14:paraId="3B923A1A"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049B6B0B"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Épocas</w:t>
            </w:r>
          </w:p>
        </w:tc>
        <w:tc>
          <w:tcPr>
            <w:tcW w:w="3600" w:type="dxa"/>
            <w:tcMar>
              <w:top w:w="80" w:type="dxa"/>
              <w:left w:w="100" w:type="dxa"/>
              <w:bottom w:w="80" w:type="dxa"/>
              <w:right w:w="100" w:type="dxa"/>
            </w:tcMar>
            <w:vAlign w:val="center"/>
          </w:tcPr>
          <w:p w14:paraId="596625D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30 (con early stopping, paciencia=5 sobre val_loss)</w:t>
            </w:r>
          </w:p>
        </w:tc>
        <w:tc>
          <w:tcPr>
            <w:tcW w:w="3360" w:type="dxa"/>
            <w:tcMar>
              <w:top w:w="80" w:type="dxa"/>
              <w:left w:w="100" w:type="dxa"/>
              <w:bottom w:w="80" w:type="dxa"/>
              <w:right w:w="100" w:type="dxa"/>
            </w:tcMar>
            <w:vAlign w:val="center"/>
          </w:tcPr>
          <w:p w14:paraId="3EC58BD5"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Suficientes para converger con transfer learning; el early stopping evita sobreajuste.</w:t>
            </w:r>
          </w:p>
        </w:tc>
      </w:tr>
      <w:tr w:rsidR="00C341CC" w:rsidRPr="00C341CC" w14:paraId="0064B56C"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73CBDB79"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Batch size</w:t>
            </w:r>
          </w:p>
        </w:tc>
        <w:tc>
          <w:tcPr>
            <w:tcW w:w="3600" w:type="dxa"/>
            <w:tcMar>
              <w:top w:w="80" w:type="dxa"/>
              <w:left w:w="100" w:type="dxa"/>
              <w:bottom w:w="80" w:type="dxa"/>
              <w:right w:w="100" w:type="dxa"/>
            </w:tcMar>
            <w:vAlign w:val="center"/>
          </w:tcPr>
          <w:p w14:paraId="6EAF9D9A"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32</w:t>
            </w:r>
          </w:p>
        </w:tc>
        <w:tc>
          <w:tcPr>
            <w:tcW w:w="3360" w:type="dxa"/>
            <w:tcMar>
              <w:top w:w="80" w:type="dxa"/>
              <w:left w:w="100" w:type="dxa"/>
              <w:bottom w:w="80" w:type="dxa"/>
              <w:right w:w="100" w:type="dxa"/>
            </w:tcMar>
            <w:vAlign w:val="center"/>
          </w:tcPr>
          <w:p w14:paraId="623E057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Balance estándar entre estabilidad del gradiente y uso de memoria en entrenamiento (Google Colab / GPU compartida).</w:t>
            </w:r>
          </w:p>
        </w:tc>
      </w:tr>
      <w:tr w:rsidR="00C341CC" w:rsidRPr="00C341CC" w14:paraId="0EA7014A"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3290A82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Función de pérdida</w:t>
            </w:r>
          </w:p>
        </w:tc>
        <w:tc>
          <w:tcPr>
            <w:tcW w:w="3600" w:type="dxa"/>
            <w:tcMar>
              <w:top w:w="80" w:type="dxa"/>
              <w:left w:w="100" w:type="dxa"/>
              <w:bottom w:w="80" w:type="dxa"/>
              <w:right w:w="100" w:type="dxa"/>
            </w:tcMar>
            <w:vAlign w:val="center"/>
          </w:tcPr>
          <w:p w14:paraId="728EE72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Binary Crossentropy</w:t>
            </w:r>
          </w:p>
        </w:tc>
        <w:tc>
          <w:tcPr>
            <w:tcW w:w="3360" w:type="dxa"/>
            <w:tcMar>
              <w:top w:w="80" w:type="dxa"/>
              <w:left w:w="100" w:type="dxa"/>
              <w:bottom w:w="80" w:type="dxa"/>
              <w:right w:w="100" w:type="dxa"/>
            </w:tcMar>
            <w:vAlign w:val="center"/>
          </w:tcPr>
          <w:p w14:paraId="6F46EAB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Apropiada para clasificación binaria con salida sigmoide (plástico=1 / vidrio=0).</w:t>
            </w:r>
          </w:p>
        </w:tc>
      </w:tr>
      <w:tr w:rsidR="00C341CC" w:rsidRPr="00C341CC" w14:paraId="3FEE1E0A"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37E93E2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Optimizador</w:t>
            </w:r>
          </w:p>
        </w:tc>
        <w:tc>
          <w:tcPr>
            <w:tcW w:w="3600" w:type="dxa"/>
            <w:tcMar>
              <w:top w:w="80" w:type="dxa"/>
              <w:left w:w="100" w:type="dxa"/>
              <w:bottom w:w="80" w:type="dxa"/>
              <w:right w:w="100" w:type="dxa"/>
            </w:tcMar>
            <w:vAlign w:val="center"/>
          </w:tcPr>
          <w:p w14:paraId="0A019EC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Adam</w:t>
            </w:r>
          </w:p>
        </w:tc>
        <w:tc>
          <w:tcPr>
            <w:tcW w:w="3360" w:type="dxa"/>
            <w:tcMar>
              <w:top w:w="80" w:type="dxa"/>
              <w:left w:w="100" w:type="dxa"/>
              <w:bottom w:w="80" w:type="dxa"/>
              <w:right w:w="100" w:type="dxa"/>
            </w:tcMar>
            <w:vAlign w:val="center"/>
          </w:tcPr>
          <w:p w14:paraId="7B351ED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Convergencia rápida y estable sin necesidad de ajuste manual extenso de la tasa de aprendizaje.</w:t>
            </w:r>
          </w:p>
        </w:tc>
      </w:tr>
      <w:tr w:rsidR="00C341CC" w:rsidRPr="00C341CC" w14:paraId="6FD324A6"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2D0334FC"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Learning rate</w:t>
            </w:r>
          </w:p>
        </w:tc>
        <w:tc>
          <w:tcPr>
            <w:tcW w:w="3600" w:type="dxa"/>
            <w:tcMar>
              <w:top w:w="80" w:type="dxa"/>
              <w:left w:w="100" w:type="dxa"/>
              <w:bottom w:w="80" w:type="dxa"/>
              <w:right w:w="100" w:type="dxa"/>
            </w:tcMar>
            <w:vAlign w:val="center"/>
          </w:tcPr>
          <w:p w14:paraId="6F1468BB"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1e-4 inicial, con ReduceLROnPlateau (factor 0.5, paciencia=3)</w:t>
            </w:r>
          </w:p>
        </w:tc>
        <w:tc>
          <w:tcPr>
            <w:tcW w:w="3360" w:type="dxa"/>
            <w:tcMar>
              <w:top w:w="80" w:type="dxa"/>
              <w:left w:w="100" w:type="dxa"/>
              <w:bottom w:w="80" w:type="dxa"/>
              <w:right w:w="100" w:type="dxa"/>
            </w:tcMar>
            <w:vAlign w:val="center"/>
          </w:tcPr>
          <w:p w14:paraId="7D02CF2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Tasa conservadora adecuada para fine-tuning de un modelo preentrenado; se reduce automáticamente si la validación se estanca.</w:t>
            </w:r>
          </w:p>
        </w:tc>
      </w:tr>
      <w:tr w:rsidR="00C341CC" w:rsidRPr="00C341CC" w14:paraId="14EBB990"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1231E7C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Estrategia de transfer learning</w:t>
            </w:r>
          </w:p>
        </w:tc>
        <w:tc>
          <w:tcPr>
            <w:tcW w:w="3600" w:type="dxa"/>
            <w:tcMar>
              <w:top w:w="80" w:type="dxa"/>
              <w:left w:w="100" w:type="dxa"/>
              <w:bottom w:w="80" w:type="dxa"/>
              <w:right w:w="100" w:type="dxa"/>
            </w:tcMar>
            <w:vAlign w:val="center"/>
          </w:tcPr>
          <w:p w14:paraId="1F9546F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Fase 1: base MobileNetV2 congelada, se entrena solo el clasificador superior. Fase 2: se descongelan las últimas ~30 capas para fine-tuning con learning rate reducido (1e-5)</w:t>
            </w:r>
          </w:p>
        </w:tc>
        <w:tc>
          <w:tcPr>
            <w:tcW w:w="3360" w:type="dxa"/>
            <w:tcMar>
              <w:top w:w="80" w:type="dxa"/>
              <w:left w:w="100" w:type="dxa"/>
              <w:bottom w:w="80" w:type="dxa"/>
              <w:right w:w="100" w:type="dxa"/>
            </w:tcMar>
            <w:vAlign w:val="center"/>
          </w:tcPr>
          <w:p w14:paraId="3CD00F6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Evita destruir los filtros preentrenados al inicio y permite especialización progresiva hacia el dominio del dataset.</w:t>
            </w:r>
          </w:p>
        </w:tc>
      </w:tr>
      <w:tr w:rsidR="00C341CC" w:rsidRPr="00C341CC" w14:paraId="7829454B"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323A864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class_weight</w:t>
            </w:r>
          </w:p>
        </w:tc>
        <w:tc>
          <w:tcPr>
            <w:tcW w:w="3600" w:type="dxa"/>
            <w:tcMar>
              <w:top w:w="80" w:type="dxa"/>
              <w:left w:w="100" w:type="dxa"/>
              <w:bottom w:w="80" w:type="dxa"/>
              <w:right w:w="100" w:type="dxa"/>
            </w:tcMar>
            <w:vAlign w:val="center"/>
          </w:tcPr>
          <w:p w14:paraId="0A3F32A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Balanceado (clase vidrio con mayor peso)</w:t>
            </w:r>
          </w:p>
        </w:tc>
        <w:tc>
          <w:tcPr>
            <w:tcW w:w="3360" w:type="dxa"/>
            <w:tcMar>
              <w:top w:w="80" w:type="dxa"/>
              <w:left w:w="100" w:type="dxa"/>
              <w:bottom w:w="80" w:type="dxa"/>
              <w:right w:w="100" w:type="dxa"/>
            </w:tcMar>
            <w:vAlign w:val="center"/>
          </w:tcPr>
          <w:p w14:paraId="3586319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Compensa el desbalance leve (1438 plástico vs. 1232 vidrio) detectado en el análisis del dataset.</w:t>
            </w:r>
          </w:p>
        </w:tc>
      </w:tr>
      <w:tr w:rsidR="00C341CC" w:rsidRPr="00C341CC" w14:paraId="5D925CFD" w14:textId="77777777" w:rsidTr="005E3C84">
        <w:tblPrEx>
          <w:tblCellMar>
            <w:top w:w="0" w:type="dxa"/>
            <w:bottom w:w="0" w:type="dxa"/>
          </w:tblCellMar>
        </w:tblPrEx>
        <w:tc>
          <w:tcPr>
            <w:tcW w:w="2400" w:type="dxa"/>
            <w:tcMar>
              <w:top w:w="80" w:type="dxa"/>
              <w:left w:w="100" w:type="dxa"/>
              <w:bottom w:w="80" w:type="dxa"/>
              <w:right w:w="100" w:type="dxa"/>
            </w:tcMar>
            <w:vAlign w:val="center"/>
          </w:tcPr>
          <w:p w14:paraId="62544D79"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Data augmentation en entrenamiento</w:t>
            </w:r>
          </w:p>
        </w:tc>
        <w:tc>
          <w:tcPr>
            <w:tcW w:w="3600" w:type="dxa"/>
            <w:tcMar>
              <w:top w:w="80" w:type="dxa"/>
              <w:left w:w="100" w:type="dxa"/>
              <w:bottom w:w="80" w:type="dxa"/>
              <w:right w:w="100" w:type="dxa"/>
            </w:tcMar>
            <w:vAlign w:val="center"/>
          </w:tcPr>
          <w:p w14:paraId="572D054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Rotación ±20°, flip horizontal, variación de brillo/contraste ±20%, zoom ligero</w:t>
            </w:r>
          </w:p>
        </w:tc>
        <w:tc>
          <w:tcPr>
            <w:tcW w:w="3360" w:type="dxa"/>
            <w:tcMar>
              <w:top w:w="80" w:type="dxa"/>
              <w:left w:w="100" w:type="dxa"/>
              <w:bottom w:w="80" w:type="dxa"/>
              <w:right w:w="100" w:type="dxa"/>
            </w:tcMar>
            <w:vAlign w:val="center"/>
          </w:tcPr>
          <w:p w14:paraId="75306B5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Simula variabilidad de fondo/iluminación ausente en el dataset original (ver sección 6).</w:t>
            </w:r>
          </w:p>
        </w:tc>
      </w:tr>
    </w:tbl>
    <w:p w14:paraId="53065044"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p>
    <w:p w14:paraId="3442324C"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lastRenderedPageBreak/>
        <w:t>5. Estrategia de validación del modelo</w:t>
      </w:r>
    </w:p>
    <w:p w14:paraId="6A904F2B"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Dado que el dataset presenta un desbalance leve entre clases (1438 vs. 1232), la exactitud (accuracy) por sí sola puede ocultar un desempeño pobre en la clase minoritaria. Por ello se define un conjunto de métricas complementarias, todas calculadas sobre el conjunto de prueba (15%, aislado durante todo el entrenamiento):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C341CC" w:rsidRPr="00C341CC" w14:paraId="46277508" w14:textId="77777777" w:rsidTr="005E3C84">
        <w:tblPrEx>
          <w:tblCellMar>
            <w:top w:w="0" w:type="dxa"/>
            <w:bottom w:w="0" w:type="dxa"/>
          </w:tblCellMar>
        </w:tblPrEx>
        <w:trPr>
          <w:tblHeader/>
        </w:trPr>
        <w:tc>
          <w:tcPr>
            <w:tcW w:w="1800" w:type="dxa"/>
            <w:shd w:val="clear" w:color="auto" w:fill="EAF1FB"/>
            <w:tcMar>
              <w:top w:w="80" w:type="dxa"/>
              <w:left w:w="100" w:type="dxa"/>
              <w:bottom w:w="80" w:type="dxa"/>
              <w:right w:w="100" w:type="dxa"/>
            </w:tcMar>
            <w:vAlign w:val="center"/>
          </w:tcPr>
          <w:p w14:paraId="3D3A225A"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Métrica</w:t>
            </w:r>
          </w:p>
        </w:tc>
        <w:tc>
          <w:tcPr>
            <w:tcW w:w="3400" w:type="dxa"/>
            <w:shd w:val="clear" w:color="auto" w:fill="EAF1FB"/>
            <w:tcMar>
              <w:top w:w="80" w:type="dxa"/>
              <w:left w:w="100" w:type="dxa"/>
              <w:bottom w:w="80" w:type="dxa"/>
              <w:right w:w="100" w:type="dxa"/>
            </w:tcMar>
            <w:vAlign w:val="center"/>
          </w:tcPr>
          <w:p w14:paraId="7A44A89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Qué mide</w:t>
            </w:r>
          </w:p>
        </w:tc>
        <w:tc>
          <w:tcPr>
            <w:tcW w:w="4160" w:type="dxa"/>
            <w:shd w:val="clear" w:color="auto" w:fill="EAF1FB"/>
            <w:tcMar>
              <w:top w:w="80" w:type="dxa"/>
              <w:left w:w="100" w:type="dxa"/>
              <w:bottom w:w="80" w:type="dxa"/>
              <w:right w:w="100" w:type="dxa"/>
            </w:tcMar>
            <w:vAlign w:val="center"/>
          </w:tcPr>
          <w:p w14:paraId="3704972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Por qué es apropiada aquí</w:t>
            </w:r>
          </w:p>
        </w:tc>
      </w:tr>
      <w:tr w:rsidR="00C341CC" w:rsidRPr="00C341CC" w14:paraId="588FE51F" w14:textId="77777777" w:rsidTr="005E3C84">
        <w:tblPrEx>
          <w:tblCellMar>
            <w:top w:w="0" w:type="dxa"/>
            <w:bottom w:w="0" w:type="dxa"/>
          </w:tblCellMar>
        </w:tblPrEx>
        <w:tc>
          <w:tcPr>
            <w:tcW w:w="1800" w:type="dxa"/>
            <w:tcMar>
              <w:top w:w="80" w:type="dxa"/>
              <w:left w:w="100" w:type="dxa"/>
              <w:bottom w:w="80" w:type="dxa"/>
              <w:right w:w="100" w:type="dxa"/>
            </w:tcMar>
            <w:vAlign w:val="center"/>
          </w:tcPr>
          <w:p w14:paraId="72C180C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Accuracy</w:t>
            </w:r>
          </w:p>
        </w:tc>
        <w:tc>
          <w:tcPr>
            <w:tcW w:w="3400" w:type="dxa"/>
            <w:tcMar>
              <w:top w:w="80" w:type="dxa"/>
              <w:left w:w="100" w:type="dxa"/>
              <w:bottom w:w="80" w:type="dxa"/>
              <w:right w:w="100" w:type="dxa"/>
            </w:tcMar>
            <w:vAlign w:val="center"/>
          </w:tcPr>
          <w:p w14:paraId="0476607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Proporción total de predicciones correctas</w:t>
            </w:r>
          </w:p>
        </w:tc>
        <w:tc>
          <w:tcPr>
            <w:tcW w:w="4160" w:type="dxa"/>
            <w:tcMar>
              <w:top w:w="80" w:type="dxa"/>
              <w:left w:w="100" w:type="dxa"/>
              <w:bottom w:w="80" w:type="dxa"/>
              <w:right w:w="100" w:type="dxa"/>
            </w:tcMar>
            <w:vAlign w:val="center"/>
          </w:tcPr>
          <w:p w14:paraId="4C5E4BD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Métrica general de referencia, fácil de comunicar en el informe final.</w:t>
            </w:r>
          </w:p>
        </w:tc>
      </w:tr>
      <w:tr w:rsidR="00C341CC" w:rsidRPr="00C341CC" w14:paraId="03DD264A" w14:textId="77777777" w:rsidTr="005E3C84">
        <w:tblPrEx>
          <w:tblCellMar>
            <w:top w:w="0" w:type="dxa"/>
            <w:bottom w:w="0" w:type="dxa"/>
          </w:tblCellMar>
        </w:tblPrEx>
        <w:tc>
          <w:tcPr>
            <w:tcW w:w="1800" w:type="dxa"/>
            <w:tcMar>
              <w:top w:w="80" w:type="dxa"/>
              <w:left w:w="100" w:type="dxa"/>
              <w:bottom w:w="80" w:type="dxa"/>
              <w:right w:w="100" w:type="dxa"/>
            </w:tcMar>
            <w:vAlign w:val="center"/>
          </w:tcPr>
          <w:p w14:paraId="2355BFB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Precision (por clase)</w:t>
            </w:r>
          </w:p>
        </w:tc>
        <w:tc>
          <w:tcPr>
            <w:tcW w:w="3400" w:type="dxa"/>
            <w:tcMar>
              <w:top w:w="80" w:type="dxa"/>
              <w:left w:w="100" w:type="dxa"/>
              <w:bottom w:w="80" w:type="dxa"/>
              <w:right w:w="100" w:type="dxa"/>
            </w:tcMar>
            <w:vAlign w:val="center"/>
          </w:tcPr>
          <w:p w14:paraId="2BA78C3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De lo que el modelo predijo como una clase, cuánto era correcto</w:t>
            </w:r>
          </w:p>
        </w:tc>
        <w:tc>
          <w:tcPr>
            <w:tcW w:w="4160" w:type="dxa"/>
            <w:tcMar>
              <w:top w:w="80" w:type="dxa"/>
              <w:left w:w="100" w:type="dxa"/>
              <w:bottom w:w="80" w:type="dxa"/>
              <w:right w:w="100" w:type="dxa"/>
            </w:tcMar>
            <w:vAlign w:val="center"/>
          </w:tcPr>
          <w:p w14:paraId="55BB0C8B"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Relevante porque una clase mal predicha (p. ej. vidrio marcado como plástico) puede contaminar el flujo de reciclaje.</w:t>
            </w:r>
          </w:p>
        </w:tc>
      </w:tr>
      <w:tr w:rsidR="00C341CC" w:rsidRPr="00C341CC" w14:paraId="650C258B" w14:textId="77777777" w:rsidTr="005E3C84">
        <w:tblPrEx>
          <w:tblCellMar>
            <w:top w:w="0" w:type="dxa"/>
            <w:bottom w:w="0" w:type="dxa"/>
          </w:tblCellMar>
        </w:tblPrEx>
        <w:tc>
          <w:tcPr>
            <w:tcW w:w="1800" w:type="dxa"/>
            <w:tcMar>
              <w:top w:w="80" w:type="dxa"/>
              <w:left w:w="100" w:type="dxa"/>
              <w:bottom w:w="80" w:type="dxa"/>
              <w:right w:w="100" w:type="dxa"/>
            </w:tcMar>
            <w:vAlign w:val="center"/>
          </w:tcPr>
          <w:p w14:paraId="561286AD"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Recall (por clase)</w:t>
            </w:r>
          </w:p>
        </w:tc>
        <w:tc>
          <w:tcPr>
            <w:tcW w:w="3400" w:type="dxa"/>
            <w:tcMar>
              <w:top w:w="80" w:type="dxa"/>
              <w:left w:w="100" w:type="dxa"/>
              <w:bottom w:w="80" w:type="dxa"/>
              <w:right w:w="100" w:type="dxa"/>
            </w:tcMar>
            <w:vAlign w:val="center"/>
          </w:tcPr>
          <w:p w14:paraId="1FC5719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De todos los casos reales de una clase, cuántos detectó el modelo</w:t>
            </w:r>
          </w:p>
        </w:tc>
        <w:tc>
          <w:tcPr>
            <w:tcW w:w="4160" w:type="dxa"/>
            <w:tcMar>
              <w:top w:w="80" w:type="dxa"/>
              <w:left w:w="100" w:type="dxa"/>
              <w:bottom w:w="80" w:type="dxa"/>
              <w:right w:w="100" w:type="dxa"/>
            </w:tcMar>
            <w:vAlign w:val="center"/>
          </w:tcPr>
          <w:p w14:paraId="74A47AE9"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Importante para la clase minoritaria (vidrio), donde interesa no perder casos reales por el desbalance.</w:t>
            </w:r>
          </w:p>
        </w:tc>
      </w:tr>
      <w:tr w:rsidR="00C341CC" w:rsidRPr="00C341CC" w14:paraId="5E07A719" w14:textId="77777777" w:rsidTr="005E3C84">
        <w:tblPrEx>
          <w:tblCellMar>
            <w:top w:w="0" w:type="dxa"/>
            <w:bottom w:w="0" w:type="dxa"/>
          </w:tblCellMar>
        </w:tblPrEx>
        <w:tc>
          <w:tcPr>
            <w:tcW w:w="1800" w:type="dxa"/>
            <w:tcMar>
              <w:top w:w="80" w:type="dxa"/>
              <w:left w:w="100" w:type="dxa"/>
              <w:bottom w:w="80" w:type="dxa"/>
              <w:right w:w="100" w:type="dxa"/>
            </w:tcMar>
            <w:vAlign w:val="center"/>
          </w:tcPr>
          <w:p w14:paraId="1E092ABA"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F1-score</w:t>
            </w:r>
          </w:p>
        </w:tc>
        <w:tc>
          <w:tcPr>
            <w:tcW w:w="3400" w:type="dxa"/>
            <w:tcMar>
              <w:top w:w="80" w:type="dxa"/>
              <w:left w:w="100" w:type="dxa"/>
              <w:bottom w:w="80" w:type="dxa"/>
              <w:right w:w="100" w:type="dxa"/>
            </w:tcMar>
            <w:vAlign w:val="center"/>
          </w:tcPr>
          <w:p w14:paraId="60B8E441"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Media armónica de precision y recall</w:t>
            </w:r>
          </w:p>
        </w:tc>
        <w:tc>
          <w:tcPr>
            <w:tcW w:w="4160" w:type="dxa"/>
            <w:tcMar>
              <w:top w:w="80" w:type="dxa"/>
              <w:left w:w="100" w:type="dxa"/>
              <w:bottom w:w="80" w:type="dxa"/>
              <w:right w:w="100" w:type="dxa"/>
            </w:tcMar>
            <w:vAlign w:val="center"/>
          </w:tcPr>
          <w:p w14:paraId="301984C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Resume el balance entre ambas en una sola cifra, útil para comparar variantes del modelo (con/sin fine-tuning, con/sin augmentation).</w:t>
            </w:r>
          </w:p>
        </w:tc>
      </w:tr>
      <w:tr w:rsidR="00C341CC" w:rsidRPr="00C341CC" w14:paraId="23A9F5D9" w14:textId="77777777" w:rsidTr="005E3C84">
        <w:tblPrEx>
          <w:tblCellMar>
            <w:top w:w="0" w:type="dxa"/>
            <w:bottom w:w="0" w:type="dxa"/>
          </w:tblCellMar>
        </w:tblPrEx>
        <w:tc>
          <w:tcPr>
            <w:tcW w:w="1800" w:type="dxa"/>
            <w:tcMar>
              <w:top w:w="80" w:type="dxa"/>
              <w:left w:w="100" w:type="dxa"/>
              <w:bottom w:w="80" w:type="dxa"/>
              <w:right w:w="100" w:type="dxa"/>
            </w:tcMar>
            <w:vAlign w:val="center"/>
          </w:tcPr>
          <w:p w14:paraId="66A25DF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Matriz de confusión</w:t>
            </w:r>
          </w:p>
        </w:tc>
        <w:tc>
          <w:tcPr>
            <w:tcW w:w="3400" w:type="dxa"/>
            <w:tcMar>
              <w:top w:w="80" w:type="dxa"/>
              <w:left w:w="100" w:type="dxa"/>
              <w:bottom w:w="80" w:type="dxa"/>
              <w:right w:w="100" w:type="dxa"/>
            </w:tcMar>
            <w:vAlign w:val="center"/>
          </w:tcPr>
          <w:p w14:paraId="7DFCD96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Distribución completa de aciertos/errores entre clases</w:t>
            </w:r>
          </w:p>
        </w:tc>
        <w:tc>
          <w:tcPr>
            <w:tcW w:w="4160" w:type="dxa"/>
            <w:tcMar>
              <w:top w:w="80" w:type="dxa"/>
              <w:left w:w="100" w:type="dxa"/>
              <w:bottom w:w="80" w:type="dxa"/>
              <w:right w:w="100" w:type="dxa"/>
            </w:tcMar>
            <w:vAlign w:val="center"/>
          </w:tcPr>
          <w:p w14:paraId="682D0F1F"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Permite ver directamente si los errores se concentran en una dirección (p. ej. vidrio transparente confundido con plástico PET transparente), el riesgo identificado en el análisis del dataset.</w:t>
            </w:r>
          </w:p>
        </w:tc>
      </w:tr>
    </w:tbl>
    <w:p w14:paraId="4A495AA7"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p>
    <w:p w14:paraId="7B2783D1"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Adicionalmente, se monitorearán las curvas de accuracy y loss (entrenamiento vs. validación) por época durante todo el entrenamiento, para detectar sobreajuste tempranamente (divergencia entre ambas curvas) y decidir si es necesario reforzar el data augmentation o reducir la complejidad del fine-tuning.</w:t>
      </w:r>
    </w:p>
    <w:p w14:paraId="35F8F03F"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t>6. Riesgos técnicos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60"/>
        <w:gridCol w:w="3800"/>
      </w:tblGrid>
      <w:tr w:rsidR="00C341CC" w:rsidRPr="00C341CC" w14:paraId="1F3F762D" w14:textId="77777777" w:rsidTr="005E3C84">
        <w:tblPrEx>
          <w:tblCellMar>
            <w:top w:w="0" w:type="dxa"/>
            <w:bottom w:w="0" w:type="dxa"/>
          </w:tblCellMar>
        </w:tblPrEx>
        <w:trPr>
          <w:tblHeader/>
        </w:trPr>
        <w:tc>
          <w:tcPr>
            <w:tcW w:w="2600" w:type="dxa"/>
            <w:shd w:val="clear" w:color="auto" w:fill="EAF1FB"/>
            <w:tcMar>
              <w:top w:w="80" w:type="dxa"/>
              <w:left w:w="100" w:type="dxa"/>
              <w:bottom w:w="80" w:type="dxa"/>
              <w:right w:w="100" w:type="dxa"/>
            </w:tcMar>
            <w:vAlign w:val="center"/>
          </w:tcPr>
          <w:p w14:paraId="2A257C87"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Riesgo</w:t>
            </w:r>
          </w:p>
        </w:tc>
        <w:tc>
          <w:tcPr>
            <w:tcW w:w="2960" w:type="dxa"/>
            <w:shd w:val="clear" w:color="auto" w:fill="EAF1FB"/>
            <w:tcMar>
              <w:top w:w="80" w:type="dxa"/>
              <w:left w:w="100" w:type="dxa"/>
              <w:bottom w:w="80" w:type="dxa"/>
              <w:right w:w="100" w:type="dxa"/>
            </w:tcMar>
            <w:vAlign w:val="center"/>
          </w:tcPr>
          <w:p w14:paraId="7B27002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Impacto</w:t>
            </w:r>
          </w:p>
        </w:tc>
        <w:tc>
          <w:tcPr>
            <w:tcW w:w="3800" w:type="dxa"/>
            <w:shd w:val="clear" w:color="auto" w:fill="EAF1FB"/>
            <w:tcMar>
              <w:top w:w="80" w:type="dxa"/>
              <w:left w:w="100" w:type="dxa"/>
              <w:bottom w:w="80" w:type="dxa"/>
              <w:right w:w="100" w:type="dxa"/>
            </w:tcMar>
            <w:vAlign w:val="center"/>
          </w:tcPr>
          <w:p w14:paraId="223D284A"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b/>
                <w:bCs/>
                <w:sz w:val="20"/>
                <w:szCs w:val="20"/>
                <w:lang w:eastAsia="es-EC"/>
              </w:rPr>
              <w:t>Estrategia de mitigación</w:t>
            </w:r>
          </w:p>
        </w:tc>
      </w:tr>
      <w:tr w:rsidR="00C341CC" w:rsidRPr="00C341CC" w14:paraId="16FBB231" w14:textId="77777777" w:rsidTr="005E3C84">
        <w:tblPrEx>
          <w:tblCellMar>
            <w:top w:w="0" w:type="dxa"/>
            <w:bottom w:w="0" w:type="dxa"/>
          </w:tblCellMar>
        </w:tblPrEx>
        <w:tc>
          <w:tcPr>
            <w:tcW w:w="2600" w:type="dxa"/>
            <w:tcMar>
              <w:top w:w="80" w:type="dxa"/>
              <w:left w:w="100" w:type="dxa"/>
              <w:bottom w:w="80" w:type="dxa"/>
              <w:right w:w="100" w:type="dxa"/>
            </w:tcMar>
            <w:vAlign w:val="center"/>
          </w:tcPr>
          <w:p w14:paraId="60A5674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Iluminación variable en el punto de uso real</w:t>
            </w:r>
          </w:p>
        </w:tc>
        <w:tc>
          <w:tcPr>
            <w:tcW w:w="2960" w:type="dxa"/>
            <w:tcMar>
              <w:top w:w="80" w:type="dxa"/>
              <w:left w:w="100" w:type="dxa"/>
              <w:bottom w:w="80" w:type="dxa"/>
              <w:right w:w="100" w:type="dxa"/>
            </w:tcMar>
            <w:vAlign w:val="center"/>
          </w:tcPr>
          <w:p w14:paraId="4477DAD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El dataset de origen fue capturado con luz interior homogénea; luz natural/sombras pueden degradar la precisión</w:t>
            </w:r>
          </w:p>
        </w:tc>
        <w:tc>
          <w:tcPr>
            <w:tcW w:w="3800" w:type="dxa"/>
            <w:tcMar>
              <w:top w:w="80" w:type="dxa"/>
              <w:left w:w="100" w:type="dxa"/>
              <w:bottom w:w="80" w:type="dxa"/>
              <w:right w:w="100" w:type="dxa"/>
            </w:tcMar>
            <w:vAlign w:val="center"/>
          </w:tcPr>
          <w:p w14:paraId="4513785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Data augmentation de brillo/contraste; capturas propias en la universidad bajo distintas condiciones de luz.</w:t>
            </w:r>
          </w:p>
        </w:tc>
      </w:tr>
      <w:tr w:rsidR="00C341CC" w:rsidRPr="00C341CC" w14:paraId="45CC43A5" w14:textId="77777777" w:rsidTr="005E3C84">
        <w:tblPrEx>
          <w:tblCellMar>
            <w:top w:w="0" w:type="dxa"/>
            <w:bottom w:w="0" w:type="dxa"/>
          </w:tblCellMar>
        </w:tblPrEx>
        <w:tc>
          <w:tcPr>
            <w:tcW w:w="2600" w:type="dxa"/>
            <w:tcMar>
              <w:top w:w="80" w:type="dxa"/>
              <w:left w:w="100" w:type="dxa"/>
              <w:bottom w:w="80" w:type="dxa"/>
              <w:right w:w="100" w:type="dxa"/>
            </w:tcMar>
            <w:vAlign w:val="center"/>
          </w:tcPr>
          <w:p w14:paraId="50EFB17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Fondo y ángulo de captura muy repetitivos en el dataset (mantel / piso de madera, toma cenital)</w:t>
            </w:r>
          </w:p>
        </w:tc>
        <w:tc>
          <w:tcPr>
            <w:tcW w:w="2960" w:type="dxa"/>
            <w:tcMar>
              <w:top w:w="80" w:type="dxa"/>
              <w:left w:w="100" w:type="dxa"/>
              <w:bottom w:w="80" w:type="dxa"/>
              <w:right w:w="100" w:type="dxa"/>
            </w:tcMar>
            <w:vAlign w:val="center"/>
          </w:tcPr>
          <w:p w14:paraId="16779D10"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Riesgo de que el modelo memorice el fondo en vez del objeto (shortcut learning) y falle ante fondos nuevos</w:t>
            </w:r>
          </w:p>
        </w:tc>
        <w:tc>
          <w:tcPr>
            <w:tcW w:w="3800" w:type="dxa"/>
            <w:tcMar>
              <w:top w:w="80" w:type="dxa"/>
              <w:left w:w="100" w:type="dxa"/>
              <w:bottom w:w="80" w:type="dxa"/>
              <w:right w:w="100" w:type="dxa"/>
            </w:tcMar>
            <w:vAlign w:val="center"/>
          </w:tcPr>
          <w:p w14:paraId="05D1343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Diversificar fondos en la captura propia; aplicar recorte/zoom aleatorio como augmentation adicional.</w:t>
            </w:r>
          </w:p>
        </w:tc>
      </w:tr>
      <w:tr w:rsidR="00C341CC" w:rsidRPr="00C341CC" w14:paraId="04EB8228" w14:textId="77777777" w:rsidTr="005E3C84">
        <w:tblPrEx>
          <w:tblCellMar>
            <w:top w:w="0" w:type="dxa"/>
            <w:bottom w:w="0" w:type="dxa"/>
          </w:tblCellMar>
        </w:tblPrEx>
        <w:tc>
          <w:tcPr>
            <w:tcW w:w="2600" w:type="dxa"/>
            <w:tcMar>
              <w:top w:w="80" w:type="dxa"/>
              <w:left w:w="100" w:type="dxa"/>
              <w:bottom w:w="80" w:type="dxa"/>
              <w:right w:w="100" w:type="dxa"/>
            </w:tcMar>
            <w:vAlign w:val="center"/>
          </w:tcPr>
          <w:p w14:paraId="484BF6D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Objetos parcialmente visibles o rotos</w:t>
            </w:r>
          </w:p>
        </w:tc>
        <w:tc>
          <w:tcPr>
            <w:tcW w:w="2960" w:type="dxa"/>
            <w:tcMar>
              <w:top w:w="80" w:type="dxa"/>
              <w:left w:w="100" w:type="dxa"/>
              <w:bottom w:w="80" w:type="dxa"/>
              <w:right w:w="100" w:type="dxa"/>
            </w:tcMar>
            <w:vAlign w:val="center"/>
          </w:tcPr>
          <w:p w14:paraId="25499782"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Menor información visual disponible para la clasificación</w:t>
            </w:r>
          </w:p>
        </w:tc>
        <w:tc>
          <w:tcPr>
            <w:tcW w:w="3800" w:type="dxa"/>
            <w:tcMar>
              <w:top w:w="80" w:type="dxa"/>
              <w:left w:w="100" w:type="dxa"/>
              <w:bottom w:w="80" w:type="dxa"/>
              <w:right w:w="100" w:type="dxa"/>
            </w:tcMar>
            <w:vAlign w:val="center"/>
          </w:tcPr>
          <w:p w14:paraId="1346244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Incluir ejemplos de este tipo en el conjunto de entrenamiento; el sistema experto puede marcar baja confianza como "desconocido" en vez de forzar una clase.</w:t>
            </w:r>
          </w:p>
        </w:tc>
      </w:tr>
      <w:tr w:rsidR="00C341CC" w:rsidRPr="00C341CC" w14:paraId="5679E895" w14:textId="77777777" w:rsidTr="005E3C84">
        <w:tblPrEx>
          <w:tblCellMar>
            <w:top w:w="0" w:type="dxa"/>
            <w:bottom w:w="0" w:type="dxa"/>
          </w:tblCellMar>
        </w:tblPrEx>
        <w:tc>
          <w:tcPr>
            <w:tcW w:w="2600" w:type="dxa"/>
            <w:tcMar>
              <w:top w:w="80" w:type="dxa"/>
              <w:left w:w="100" w:type="dxa"/>
              <w:bottom w:w="80" w:type="dxa"/>
              <w:right w:w="100" w:type="dxa"/>
            </w:tcMar>
            <w:vAlign w:val="center"/>
          </w:tcPr>
          <w:p w14:paraId="59ECE663"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Similitud entre materiales transparentes (PET transparente vs. vidrio claro)</w:t>
            </w:r>
          </w:p>
        </w:tc>
        <w:tc>
          <w:tcPr>
            <w:tcW w:w="2960" w:type="dxa"/>
            <w:tcMar>
              <w:top w:w="80" w:type="dxa"/>
              <w:left w:w="100" w:type="dxa"/>
              <w:bottom w:w="80" w:type="dxa"/>
              <w:right w:w="100" w:type="dxa"/>
            </w:tcMar>
            <w:vAlign w:val="center"/>
          </w:tcPr>
          <w:p w14:paraId="704F441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Es el caso límite más probable de confusión entre las dos clases</w:t>
            </w:r>
          </w:p>
        </w:tc>
        <w:tc>
          <w:tcPr>
            <w:tcW w:w="3800" w:type="dxa"/>
            <w:tcMar>
              <w:top w:w="80" w:type="dxa"/>
              <w:left w:w="100" w:type="dxa"/>
              <w:bottom w:w="80" w:type="dxa"/>
              <w:right w:w="100" w:type="dxa"/>
            </w:tcMar>
            <w:vAlign w:val="center"/>
          </w:tcPr>
          <w:p w14:paraId="2BF44EA5"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Priorizar estos ejemplos en la captura adicional; revisar específicamente estos casos en la matriz de confusión.</w:t>
            </w:r>
          </w:p>
        </w:tc>
      </w:tr>
      <w:tr w:rsidR="00C341CC" w:rsidRPr="00C341CC" w14:paraId="39DE2D13" w14:textId="77777777" w:rsidTr="005E3C84">
        <w:tblPrEx>
          <w:tblCellMar>
            <w:top w:w="0" w:type="dxa"/>
            <w:bottom w:w="0" w:type="dxa"/>
          </w:tblCellMar>
        </w:tblPrEx>
        <w:tc>
          <w:tcPr>
            <w:tcW w:w="2600" w:type="dxa"/>
            <w:tcMar>
              <w:top w:w="80" w:type="dxa"/>
              <w:left w:w="100" w:type="dxa"/>
              <w:bottom w:w="80" w:type="dxa"/>
              <w:right w:w="100" w:type="dxa"/>
            </w:tcMar>
            <w:vAlign w:val="center"/>
          </w:tcPr>
          <w:p w14:paraId="1DDC7166"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lastRenderedPageBreak/>
              <w:t>Desbalance leve de clases (1438 vs. 1232)</w:t>
            </w:r>
          </w:p>
        </w:tc>
        <w:tc>
          <w:tcPr>
            <w:tcW w:w="2960" w:type="dxa"/>
            <w:tcMar>
              <w:top w:w="80" w:type="dxa"/>
              <w:left w:w="100" w:type="dxa"/>
              <w:bottom w:w="80" w:type="dxa"/>
              <w:right w:w="100" w:type="dxa"/>
            </w:tcMar>
            <w:vAlign w:val="center"/>
          </w:tcPr>
          <w:p w14:paraId="2CF724A8"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Sesgo leve del modelo hacia la clase mayoritaria (plástico)</w:t>
            </w:r>
          </w:p>
        </w:tc>
        <w:tc>
          <w:tcPr>
            <w:tcW w:w="3800" w:type="dxa"/>
            <w:tcMar>
              <w:top w:w="80" w:type="dxa"/>
              <w:left w:w="100" w:type="dxa"/>
              <w:bottom w:w="80" w:type="dxa"/>
              <w:right w:w="100" w:type="dxa"/>
            </w:tcMar>
            <w:vAlign w:val="center"/>
          </w:tcPr>
          <w:p w14:paraId="20460944"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class_weight balanceado durante el entrenamiento; augmentation algo más intensivo sobre la clase vidrio.</w:t>
            </w:r>
          </w:p>
        </w:tc>
      </w:tr>
      <w:tr w:rsidR="00C341CC" w:rsidRPr="00C341CC" w14:paraId="26B12E71" w14:textId="77777777" w:rsidTr="005E3C84">
        <w:tblPrEx>
          <w:tblCellMar>
            <w:top w:w="0" w:type="dxa"/>
            <w:bottom w:w="0" w:type="dxa"/>
          </w:tblCellMar>
        </w:tblPrEx>
        <w:tc>
          <w:tcPr>
            <w:tcW w:w="2600" w:type="dxa"/>
            <w:tcMar>
              <w:top w:w="80" w:type="dxa"/>
              <w:left w:w="100" w:type="dxa"/>
              <w:bottom w:w="80" w:type="dxa"/>
              <w:right w:w="100" w:type="dxa"/>
            </w:tcMar>
            <w:vAlign w:val="center"/>
          </w:tcPr>
          <w:p w14:paraId="1B7414A9"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Sobreajuste (overfitting) por dominio limitado del dataset de origen</w:t>
            </w:r>
          </w:p>
        </w:tc>
        <w:tc>
          <w:tcPr>
            <w:tcW w:w="2960" w:type="dxa"/>
            <w:tcMar>
              <w:top w:w="80" w:type="dxa"/>
              <w:left w:w="100" w:type="dxa"/>
              <w:bottom w:w="80" w:type="dxa"/>
              <w:right w:w="100" w:type="dxa"/>
            </w:tcMar>
            <w:vAlign w:val="center"/>
          </w:tcPr>
          <w:p w14:paraId="4F495A4E"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Buen desempeño en el test set derivado de Kaggle pero pobre en producción</w:t>
            </w:r>
          </w:p>
        </w:tc>
        <w:tc>
          <w:tcPr>
            <w:tcW w:w="3800" w:type="dxa"/>
            <w:tcMar>
              <w:top w:w="80" w:type="dxa"/>
              <w:left w:w="100" w:type="dxa"/>
              <w:bottom w:w="80" w:type="dxa"/>
              <w:right w:w="100" w:type="dxa"/>
            </w:tcMar>
            <w:vAlign w:val="center"/>
          </w:tcPr>
          <w:p w14:paraId="4C1A440B" w14:textId="77777777" w:rsidR="00C341CC" w:rsidRPr="00C341CC" w:rsidRDefault="00C341CC" w:rsidP="00C341CC">
            <w:pPr>
              <w:suppressAutoHyphens w:val="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Early stopping sobre val_loss; validar también sobre un pequeño conjunto de fotos reales tomadas en la universidad antes de dar por aceptado el modelo.</w:t>
            </w:r>
          </w:p>
        </w:tc>
      </w:tr>
    </w:tbl>
    <w:p w14:paraId="764F73B9"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p>
    <w:p w14:paraId="611775C5"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t>7. Estrategias de mejora</w:t>
      </w:r>
    </w:p>
    <w:p w14:paraId="5C0DE041"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Data augmentation: rotación, flip horizontal, variación de brillo/contraste y zoom aleatorio aplicados en tiempo de carga, para compensar la baja variabilidad de fondo/iluminación del dataset original.</w:t>
      </w:r>
    </w:p>
    <w:p w14:paraId="1B6107B7"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Transfer learning en dos fases: entrenamiento inicial con la base MobileNetV2 congelada seguido de fine-tuning de las últimas capas, para adaptar los filtros preentrenados al dominio específico de residuos de plástico y vidrio sin perder el conocimiento general de ImageNet.</w:t>
      </w:r>
    </w:p>
    <w:p w14:paraId="7471B2BF"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Ajuste de hiperparámetros: búsqueda acotada sobre learning rate, número de capas descongeladas y peso de clases, comparando resultados mediante F1-score en el conjunto de validación antes de fijar la configuración final.</w:t>
      </w:r>
    </w:p>
    <w:p w14:paraId="48E33D3A" w14:textId="77777777" w:rsidR="00C341CC" w:rsidRPr="00C341CC" w:rsidRDefault="00C341CC" w:rsidP="00C341CC">
      <w:pPr>
        <w:numPr>
          <w:ilvl w:val="0"/>
          <w:numId w:val="14"/>
        </w:numPr>
        <w:suppressAutoHyphens w:val="0"/>
        <w:spacing w:after="8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Captura de imágenes reales dentro de la universidad: complementar el dataset de Kaggle con fotografías tomadas con la misma cámara USB y Raspberry Pi 5 del proyecto, en el entorno real de despliegue, usadas como conjunto adicional de validación "del mundo real" antes de aceptar el modelo como definitivo.</w:t>
      </w:r>
    </w:p>
    <w:p w14:paraId="50B0AD04" w14:textId="77777777" w:rsidR="00C341CC" w:rsidRPr="00C341CC" w:rsidRDefault="00C341CC" w:rsidP="00C341CC">
      <w:pPr>
        <w:suppressAutoHyphens w:val="0"/>
        <w:spacing w:before="360" w:after="160"/>
        <w:outlineLvl w:val="0"/>
        <w:rPr>
          <w:rFonts w:ascii="Times New Roman" w:eastAsia="Times New Roman" w:hAnsi="Times New Roman" w:cs="Times New Roman"/>
          <w:color w:val="2E74B5"/>
          <w:sz w:val="32"/>
          <w:szCs w:val="32"/>
          <w:lang w:eastAsia="es-EC"/>
        </w:rPr>
      </w:pPr>
      <w:r w:rsidRPr="00C341CC">
        <w:rPr>
          <w:rFonts w:ascii="Times New Roman" w:eastAsia="Times New Roman" w:hAnsi="Times New Roman" w:cs="Times New Roman"/>
          <w:color w:val="2E74B5"/>
          <w:sz w:val="32"/>
          <w:szCs w:val="32"/>
          <w:lang w:eastAsia="es-EC"/>
        </w:rPr>
        <w:t>Referencias</w:t>
      </w:r>
    </w:p>
    <w:p w14:paraId="24EA4F37"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Sandler, M., Howard, A., Zhu, M., Zhmoginov, A., &amp; Chen, L.-C. (2018). MobileNetV2: Inverted Residuals and Linear Bottlenecks. CVPR 2018. https://arxiv.org/abs/1801.04381</w:t>
      </w:r>
    </w:p>
    <w:p w14:paraId="4BEDC5E0"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TensorFlow. (s.f.). TensorFlow Lite — Deploy ML models on mobile and edge devices. https://www.tensorflow.org/lite</w:t>
      </w:r>
    </w:p>
    <w:p w14:paraId="7BCCF47E" w14:textId="77777777" w:rsidR="00C341CC" w:rsidRPr="00C341CC" w:rsidRDefault="00C341CC" w:rsidP="00C341CC">
      <w:pPr>
        <w:suppressAutoHyphens w:val="0"/>
        <w:spacing w:after="160"/>
        <w:rPr>
          <w:rFonts w:ascii="Times New Roman" w:eastAsia="Times New Roman" w:hAnsi="Times New Roman" w:cs="Times New Roman"/>
          <w:sz w:val="20"/>
          <w:szCs w:val="20"/>
          <w:lang w:eastAsia="es-EC"/>
        </w:rPr>
      </w:pPr>
      <w:r w:rsidRPr="00C341CC">
        <w:rPr>
          <w:rFonts w:ascii="Times New Roman" w:eastAsia="Times New Roman" w:hAnsi="Times New Roman" w:cs="Times New Roman"/>
          <w:sz w:val="20"/>
          <w:szCs w:val="20"/>
          <w:lang w:eastAsia="es-EC"/>
        </w:rPr>
        <w:t>Informe interno: Análisis del Dataset de Proyectos Integradores — RePoints (PUCE Manabí, 2026), documento previo de este mismo proyecto integrado.</w:t>
      </w:r>
    </w:p>
    <w:p w14:paraId="704D7E93" w14:textId="77777777" w:rsidR="00376B21" w:rsidRDefault="00376B21" w:rsidP="003F2758"/>
    <w:sectPr w:rsidR="00376B21" w:rsidSect="00C341CC">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564A" w14:textId="77777777" w:rsidR="000F26A7" w:rsidRPr="00FC61D1" w:rsidRDefault="000F26A7">
      <w:r w:rsidRPr="00FC61D1">
        <w:separator/>
      </w:r>
    </w:p>
  </w:endnote>
  <w:endnote w:type="continuationSeparator" w:id="0">
    <w:p w14:paraId="0712366C" w14:textId="77777777" w:rsidR="000F26A7" w:rsidRPr="00FC61D1" w:rsidRDefault="000F26A7">
      <w:r w:rsidRPr="00FC61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Lohit Devanagari">
    <w:altName w:val="Times New Roman"/>
    <w:charset w:val="00"/>
    <w:family w:val="auto"/>
    <w:pitch w:val="variable"/>
  </w:font>
  <w:font w:name="Uni Neue Regular">
    <w:altName w:val="Times New Roman"/>
    <w:charset w:val="01"/>
    <w:family w:val="roman"/>
    <w:pitch w:val="variable"/>
  </w:font>
  <w:font w:name="Uni Neue">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56E7" w14:textId="77777777" w:rsidR="00C341CC" w:rsidRDefault="00C341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F0E9" w14:textId="2D35529A" w:rsidR="009C70A7" w:rsidRPr="00FC61D1" w:rsidRDefault="009C70A7">
    <w:pPr>
      <w:pStyle w:val="Piedepgina"/>
      <w:jc w:val="center"/>
      <w:rPr>
        <w:rFonts w:ascii="Uni Neue Regular" w:hAnsi="Uni Neue Regula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534D" w14:textId="77777777" w:rsidR="00C341CC" w:rsidRDefault="00C341C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08FA" w14:textId="4C6F0533" w:rsidR="00C341CC" w:rsidRPr="00C341CC" w:rsidRDefault="00C341CC" w:rsidP="00C341CC">
    <w:pPr>
      <w:jc w:val="center"/>
      <w:rPr>
        <w:sz w:val="16"/>
      </w:rPr>
    </w:pPr>
    <w:r>
      <w:rPr>
        <w:sz w:val="16"/>
      </w:rPr>
      <w:t xml:space="preserve">Página </w:t>
    </w:r>
    <w:r>
      <w:rPr>
        <w:sz w:val="16"/>
      </w:rPr>
      <w:fldChar w:fldCharType="begin"/>
    </w:r>
    <w:r>
      <w:rPr>
        <w:sz w:val="16"/>
      </w:rPr>
      <w:instrText xml:space="preserve"> PAGE \* MERGEFORMAT </w:instrText>
    </w:r>
    <w:r>
      <w:rPr>
        <w:sz w:val="16"/>
      </w:rPr>
      <w:fldChar w:fldCharType="separate"/>
    </w:r>
    <w:r>
      <w:rPr>
        <w:noProof/>
        <w:sz w:val="16"/>
      </w:rPr>
      <w:t>8</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3F17" w14:textId="77777777" w:rsidR="000F26A7" w:rsidRPr="00FC61D1" w:rsidRDefault="000F26A7">
      <w:r w:rsidRPr="00FC61D1">
        <w:separator/>
      </w:r>
    </w:p>
  </w:footnote>
  <w:footnote w:type="continuationSeparator" w:id="0">
    <w:p w14:paraId="1F27CC7B" w14:textId="77777777" w:rsidR="000F26A7" w:rsidRPr="00FC61D1" w:rsidRDefault="000F26A7">
      <w:r w:rsidRPr="00FC61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A8A8" w14:textId="77777777" w:rsidR="009C70A7" w:rsidRPr="00FC61D1" w:rsidRDefault="00D42DB7">
    <w:pPr>
      <w:pStyle w:val="Encabezado"/>
    </w:pPr>
    <w:r w:rsidRPr="00FC61D1">
      <w:rPr>
        <w:noProof/>
      </w:rPr>
      <w:drawing>
        <wp:anchor distT="0" distB="0" distL="0" distR="0" simplePos="0" relativeHeight="251654656" behindDoc="1" locked="0" layoutInCell="0" allowOverlap="1" wp14:anchorId="78FC014C" wp14:editId="76CAB3D9">
          <wp:simplePos x="0" y="0"/>
          <wp:positionH relativeFrom="margin">
            <wp:align>center</wp:align>
          </wp:positionH>
          <wp:positionV relativeFrom="margin">
            <wp:align>center</wp:align>
          </wp:positionV>
          <wp:extent cx="5606415" cy="7934325"/>
          <wp:effectExtent l="0" t="0" r="0" b="0"/>
          <wp:wrapNone/>
          <wp:docPr id="386358504" name="WordPictureWatermark1"/>
          <wp:cNvGraphicFramePr/>
          <a:graphic xmlns:a="http://schemas.openxmlformats.org/drawingml/2006/main">
            <a:graphicData uri="http://schemas.openxmlformats.org/drawingml/2006/picture">
              <pic:pic xmlns:pic="http://schemas.openxmlformats.org/drawingml/2006/picture">
                <pic:nvPicPr>
                  <pic:cNvPr id="0" name="WordPictureWatermark1"/>
                  <pic:cNvPicPr/>
                </pic:nvPicPr>
                <pic:blipFill>
                  <a:blip r:embed="rId1">
                    <a:lum bright="70000" contrast="-70000"/>
                  </a:blip>
                  <a:stretch/>
                </pic:blipFill>
                <pic:spPr>
                  <a:xfrm>
                    <a:off x="0" y="0"/>
                    <a:ext cx="5606280" cy="7934400"/>
                  </a:xfrm>
                  <a:prstGeom prst="rect">
                    <a:avLst/>
                  </a:prstGeom>
                  <a:ln w="0">
                    <a:noFill/>
                  </a:ln>
                </pic:spPr>
              </pic:pic>
            </a:graphicData>
          </a:graphic>
        </wp:anchor>
      </w:drawing>
    </w:r>
    <w:r w:rsidRPr="00FC61D1">
      <w:rPr>
        <w:noProof/>
      </w:rPr>
      <w:drawing>
        <wp:anchor distT="0" distB="0" distL="0" distR="0" simplePos="0" relativeHeight="251655680" behindDoc="1" locked="0" layoutInCell="0" allowOverlap="1" wp14:anchorId="59627F25" wp14:editId="32B49D43">
          <wp:simplePos x="0" y="0"/>
          <wp:positionH relativeFrom="margin">
            <wp:align>center</wp:align>
          </wp:positionH>
          <wp:positionV relativeFrom="margin">
            <wp:align>center</wp:align>
          </wp:positionV>
          <wp:extent cx="5606415" cy="7934325"/>
          <wp:effectExtent l="0" t="0" r="0" b="0"/>
          <wp:wrapNone/>
          <wp:docPr id="507659196" name="WordPictureWatermark2"/>
          <wp:cNvGraphicFramePr/>
          <a:graphic xmlns:a="http://schemas.openxmlformats.org/drawingml/2006/main">
            <a:graphicData uri="http://schemas.openxmlformats.org/drawingml/2006/picture">
              <pic:pic xmlns:pic="http://schemas.openxmlformats.org/drawingml/2006/picture">
                <pic:nvPicPr>
                  <pic:cNvPr id="1" name="WordPictureWatermark2"/>
                  <pic:cNvPicPr/>
                </pic:nvPicPr>
                <pic:blipFill>
                  <a:blip r:embed="rId1">
                    <a:lum bright="70000" contrast="-70000"/>
                  </a:blip>
                  <a:stretch/>
                </pic:blipFill>
                <pic:spPr>
                  <a:xfrm>
                    <a:off x="0" y="0"/>
                    <a:ext cx="5606280" cy="7934400"/>
                  </a:xfrm>
                  <a:prstGeom prst="rect">
                    <a:avLst/>
                  </a:prstGeom>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ED3C" w14:textId="5A275296" w:rsidR="009C70A7" w:rsidRPr="00FC61D1" w:rsidRDefault="009C70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BEF6" w14:textId="77777777" w:rsidR="009C70A7" w:rsidRPr="00FC61D1" w:rsidRDefault="00D42DB7">
    <w:pPr>
      <w:pStyle w:val="Encabezado"/>
    </w:pPr>
    <w:r w:rsidRPr="00FC61D1">
      <w:rPr>
        <w:noProof/>
      </w:rPr>
      <w:drawing>
        <wp:anchor distT="0" distB="0" distL="0" distR="0" simplePos="0" relativeHeight="251657728" behindDoc="1" locked="0" layoutInCell="0" allowOverlap="1" wp14:anchorId="7DF2B5DA" wp14:editId="633770F7">
          <wp:simplePos x="0" y="0"/>
          <wp:positionH relativeFrom="column">
            <wp:posOffset>-715645</wp:posOffset>
          </wp:positionH>
          <wp:positionV relativeFrom="paragraph">
            <wp:posOffset>-383540</wp:posOffset>
          </wp:positionV>
          <wp:extent cx="3922395" cy="685800"/>
          <wp:effectExtent l="0" t="0" r="0" b="0"/>
          <wp:wrapNone/>
          <wp:docPr id="11585056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noChangeArrowheads="1"/>
                  </pic:cNvPicPr>
                </pic:nvPicPr>
                <pic:blipFill>
                  <a:blip r:embed="rId1"/>
                  <a:stretch>
                    <a:fillRect/>
                  </a:stretch>
                </pic:blipFill>
                <pic:spPr bwMode="auto">
                  <a:xfrm>
                    <a:off x="0" y="0"/>
                    <a:ext cx="3922395" cy="685800"/>
                  </a:xfrm>
                  <a:prstGeom prst="rect">
                    <a:avLst/>
                  </a:prstGeom>
                </pic:spPr>
              </pic:pic>
            </a:graphicData>
          </a:graphic>
        </wp:anchor>
      </w:drawing>
    </w:r>
    <w:r w:rsidRPr="00FC61D1">
      <w:rPr>
        <w:noProof/>
      </w:rPr>
      <mc:AlternateContent>
        <mc:Choice Requires="wps">
          <w:drawing>
            <wp:anchor distT="0" distB="0" distL="0" distR="0" simplePos="0" relativeHeight="251659776" behindDoc="1" locked="0" layoutInCell="0" allowOverlap="1" wp14:anchorId="60F5AED6" wp14:editId="4C41324A">
              <wp:simplePos x="0" y="0"/>
              <wp:positionH relativeFrom="column">
                <wp:posOffset>2947670</wp:posOffset>
              </wp:positionH>
              <wp:positionV relativeFrom="paragraph">
                <wp:posOffset>-172085</wp:posOffset>
              </wp:positionV>
              <wp:extent cx="3086100" cy="459740"/>
              <wp:effectExtent l="0" t="0" r="0" b="0"/>
              <wp:wrapNone/>
              <wp:docPr id="9" name="Cuadro de texto 3"/>
              <wp:cNvGraphicFramePr/>
              <a:graphic xmlns:a="http://schemas.openxmlformats.org/drawingml/2006/main">
                <a:graphicData uri="http://schemas.microsoft.com/office/word/2010/wordprocessingShape">
                  <wps:wsp>
                    <wps:cNvSpPr/>
                    <wps:spPr>
                      <a:xfrm>
                        <a:off x="0" y="0"/>
                        <a:ext cx="3086280" cy="459720"/>
                      </a:xfrm>
                      <a:prstGeom prst="rect">
                        <a:avLst/>
                      </a:prstGeom>
                      <a:noFill/>
                      <a:ln w="0">
                        <a:noFill/>
                      </a:ln>
                    </wps:spPr>
                    <wps:style>
                      <a:lnRef idx="0">
                        <a:schemeClr val="accent1"/>
                      </a:lnRef>
                      <a:fillRef idx="0">
                        <a:schemeClr val="accent1"/>
                      </a:fillRef>
                      <a:effectRef idx="0">
                        <a:schemeClr val="accent1"/>
                      </a:effectRef>
                      <a:fontRef idx="minor"/>
                    </wps:style>
                    <wps:txbx>
                      <w:txbxContent>
                        <w:p w14:paraId="579CBA3B"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FORMACIÓN DE GRADO</w:t>
                          </w:r>
                        </w:p>
                        <w:p w14:paraId="32A151E3"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CARRERA DE DESARROLLO DE SOFTWARE</w:t>
                          </w:r>
                        </w:p>
                      </w:txbxContent>
                    </wps:txbx>
                    <wps:bodyPr anchor="t">
                      <a:prstTxWarp prst="textNoShape">
                        <a:avLst/>
                      </a:prstTxWarp>
                      <a:noAutofit/>
                    </wps:bodyPr>
                  </wps:wsp>
                </a:graphicData>
              </a:graphic>
            </wp:anchor>
          </w:drawing>
        </mc:Choice>
        <mc:Fallback>
          <w:pict>
            <v:rect w14:anchorId="60F5AED6" id="Cuadro de texto 3" o:spid="_x0000_s1026" style="position:absolute;margin-left:232.1pt;margin-top:-13.55pt;width:243pt;height:36.2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" o:allowincell="f" filled="f" stroked="f" strokeweight="0">
              <v:textbox>
                <w:txbxContent>
                  <w:p w14:paraId="579CBA3B"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FORMACIÓN DE GRADO</w:t>
                    </w:r>
                  </w:p>
                  <w:p w14:paraId="32A151E3"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CARRERA DE DESARROLLO DE SOFTWARE</w:t>
                    </w:r>
                  </w:p>
                </w:txbxContent>
              </v:textbox>
            </v:rect>
          </w:pict>
        </mc:Fallback>
      </mc:AlternateContent>
    </w:r>
  </w:p>
  <w:p w14:paraId="5A4CF267" w14:textId="77777777" w:rsidR="009C70A7" w:rsidRPr="00FC61D1" w:rsidRDefault="009C70A7">
    <w:pPr>
      <w:pStyle w:val="Encabezado"/>
    </w:pPr>
  </w:p>
  <w:p w14:paraId="54FC502E" w14:textId="77777777" w:rsidR="009C70A7" w:rsidRPr="00FC61D1" w:rsidRDefault="00D42DB7">
    <w:pPr>
      <w:pStyle w:val="Encabezado"/>
    </w:pPr>
    <w:r w:rsidRPr="00FC61D1">
      <w:rPr>
        <w:noProof/>
      </w:rPr>
      <w:drawing>
        <wp:anchor distT="0" distB="0" distL="0" distR="0" simplePos="0" relativeHeight="251653632" behindDoc="1" locked="0" layoutInCell="0" allowOverlap="1" wp14:anchorId="7C3325F5" wp14:editId="5144297B">
          <wp:simplePos x="0" y="0"/>
          <wp:positionH relativeFrom="column">
            <wp:posOffset>2995295</wp:posOffset>
          </wp:positionH>
          <wp:positionV relativeFrom="paragraph">
            <wp:posOffset>1046480</wp:posOffset>
          </wp:positionV>
          <wp:extent cx="3364865" cy="6616700"/>
          <wp:effectExtent l="0" t="0" r="0" b="0"/>
          <wp:wrapNone/>
          <wp:docPr id="1965723797" name="Imagen 4" descr="PAPELERIA-PUCE-2022_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4" descr="PAPELERIA-PUCE-2022_fondo.png"/>
                  <pic:cNvPicPr>
                    <a:picLocks noChangeAspect="1" noChangeArrowheads="1"/>
                  </pic:cNvPicPr>
                </pic:nvPicPr>
                <pic:blipFill>
                  <a:blip r:embed="rId2"/>
                  <a:srcRect l="52951" t="19059" r="-356" b="15163"/>
                  <a:stretch>
                    <a:fillRect/>
                  </a:stretch>
                </pic:blipFill>
                <pic:spPr bwMode="auto">
                  <a:xfrm>
                    <a:off x="0" y="0"/>
                    <a:ext cx="3364865" cy="66167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D900" w14:textId="77777777" w:rsidR="00C341CC" w:rsidRDefault="00C341CC" w:rsidP="00C341CC">
    <w:pPr>
      <w:jc w:val="right"/>
      <w:rPr>
        <w:rFonts w:ascii="Calibri" w:hAnsi="Calibri" w:cs="Calibri"/>
        <w:color w:val="4D4C4D"/>
        <w:sz w:val="18"/>
      </w:rPr>
    </w:pPr>
    <w:r>
      <w:rPr>
        <w:rFonts w:ascii="Calibri" w:hAnsi="Calibri" w:cs="Calibri"/>
        <w:color w:val="4D4C4D"/>
        <w:sz w:val="18"/>
      </w:rPr>
      <w:t>FORMACIÓN DE GRADO</w:t>
    </w:r>
  </w:p>
  <w:p w14:paraId="07DCBBAA" w14:textId="70EDC2B1" w:rsidR="00C341CC" w:rsidRPr="00C341CC" w:rsidRDefault="00C341CC" w:rsidP="00C341CC">
    <w:pPr>
      <w:jc w:val="right"/>
      <w:rPr>
        <w:rFonts w:ascii="Calibri" w:hAnsi="Calibri" w:cs="Calibri"/>
        <w:color w:val="4D4C4D"/>
        <w:sz w:val="18"/>
      </w:rPr>
    </w:pPr>
    <w:r>
      <w:rPr>
        <w:rFonts w:ascii="Calibri" w:hAnsi="Calibri" w:cs="Calibri"/>
        <w:color w:val="4D4C4D"/>
        <w:sz w:val="18"/>
      </w:rPr>
      <w:t>CARRERA DE DESARROLLO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5CD"/>
    <w:multiLevelType w:val="hybridMultilevel"/>
    <w:tmpl w:val="82F6C0AA"/>
    <w:lvl w:ilvl="0" w:tplc="BD20E750">
      <w:start w:val="1"/>
      <w:numFmt w:val="decimal"/>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 w15:restartNumberingAfterBreak="0">
    <w:nsid w:val="0B9C2028"/>
    <w:multiLevelType w:val="hybridMultilevel"/>
    <w:tmpl w:val="6AFA5AEE"/>
    <w:lvl w:ilvl="0" w:tplc="E9AE744A">
      <w:start w:val="1"/>
      <w:numFmt w:val="bullet"/>
      <w:lvlText w:val="●"/>
      <w:lvlJc w:val="left"/>
      <w:pPr>
        <w:ind w:left="720" w:hanging="360"/>
      </w:pPr>
    </w:lvl>
    <w:lvl w:ilvl="1" w:tplc="AC723EEC">
      <w:start w:val="1"/>
      <w:numFmt w:val="bullet"/>
      <w:lvlText w:val="○"/>
      <w:lvlJc w:val="left"/>
      <w:pPr>
        <w:ind w:left="1440" w:hanging="360"/>
      </w:pPr>
    </w:lvl>
    <w:lvl w:ilvl="2" w:tplc="5D10BA4E">
      <w:start w:val="1"/>
      <w:numFmt w:val="bullet"/>
      <w:lvlText w:val="■"/>
      <w:lvlJc w:val="left"/>
      <w:pPr>
        <w:ind w:left="2160" w:hanging="360"/>
      </w:pPr>
    </w:lvl>
    <w:lvl w:ilvl="3" w:tplc="B2249690">
      <w:start w:val="1"/>
      <w:numFmt w:val="bullet"/>
      <w:lvlText w:val="●"/>
      <w:lvlJc w:val="left"/>
      <w:pPr>
        <w:ind w:left="2880" w:hanging="360"/>
      </w:pPr>
    </w:lvl>
    <w:lvl w:ilvl="4" w:tplc="C1AC5840">
      <w:start w:val="1"/>
      <w:numFmt w:val="bullet"/>
      <w:lvlText w:val="○"/>
      <w:lvlJc w:val="left"/>
      <w:pPr>
        <w:ind w:left="3600" w:hanging="360"/>
      </w:pPr>
    </w:lvl>
    <w:lvl w:ilvl="5" w:tplc="012E9912">
      <w:start w:val="1"/>
      <w:numFmt w:val="bullet"/>
      <w:lvlText w:val="■"/>
      <w:lvlJc w:val="left"/>
      <w:pPr>
        <w:ind w:left="4320" w:hanging="360"/>
      </w:pPr>
    </w:lvl>
    <w:lvl w:ilvl="6" w:tplc="B2C48A88">
      <w:start w:val="1"/>
      <w:numFmt w:val="bullet"/>
      <w:lvlText w:val="●"/>
      <w:lvlJc w:val="left"/>
      <w:pPr>
        <w:ind w:left="5040" w:hanging="360"/>
      </w:pPr>
    </w:lvl>
    <w:lvl w:ilvl="7" w:tplc="2888332E">
      <w:start w:val="1"/>
      <w:numFmt w:val="bullet"/>
      <w:lvlText w:val="●"/>
      <w:lvlJc w:val="left"/>
      <w:pPr>
        <w:ind w:left="5760" w:hanging="360"/>
      </w:pPr>
    </w:lvl>
    <w:lvl w:ilvl="8" w:tplc="C27A5DD2">
      <w:start w:val="1"/>
      <w:numFmt w:val="bullet"/>
      <w:lvlText w:val="●"/>
      <w:lvlJc w:val="left"/>
      <w:pPr>
        <w:ind w:left="6480" w:hanging="360"/>
      </w:pPr>
    </w:lvl>
  </w:abstractNum>
  <w:abstractNum w:abstractNumId="2" w15:restartNumberingAfterBreak="0">
    <w:nsid w:val="0F961B9A"/>
    <w:multiLevelType w:val="hybridMultilevel"/>
    <w:tmpl w:val="12023BBC"/>
    <w:lvl w:ilvl="0" w:tplc="BD20E750">
      <w:start w:val="1"/>
      <w:numFmt w:val="decimal"/>
      <w:lvlText w:val="%1."/>
      <w:lvlJc w:val="left"/>
      <w:pPr>
        <w:ind w:left="1068"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75E1586"/>
    <w:multiLevelType w:val="multilevel"/>
    <w:tmpl w:val="B2A6FBE2"/>
    <w:lvl w:ilvl="0">
      <w:start w:val="1"/>
      <w:numFmt w:val="decimal"/>
      <w:lvlText w:val="%1."/>
      <w:lvlJc w:val="left"/>
      <w:pPr>
        <w:tabs>
          <w:tab w:val="num" w:pos="0"/>
        </w:tabs>
        <w:ind w:left="927" w:hanging="360"/>
      </w:pPr>
      <w:rPr>
        <w:b/>
        <w:bCs w:val="0"/>
        <w:color w:val="1F2329"/>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4" w15:restartNumberingAfterBreak="0">
    <w:nsid w:val="17B81195"/>
    <w:multiLevelType w:val="multilevel"/>
    <w:tmpl w:val="700878A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8397777"/>
    <w:multiLevelType w:val="hybridMultilevel"/>
    <w:tmpl w:val="591A8F5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0081B84"/>
    <w:multiLevelType w:val="multilevel"/>
    <w:tmpl w:val="7E6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E104B"/>
    <w:multiLevelType w:val="multilevel"/>
    <w:tmpl w:val="6D48C7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005087C"/>
    <w:multiLevelType w:val="multilevel"/>
    <w:tmpl w:val="3BEE90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40E63C6"/>
    <w:multiLevelType w:val="hybridMultilevel"/>
    <w:tmpl w:val="D0AA954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539352F"/>
    <w:multiLevelType w:val="hybridMultilevel"/>
    <w:tmpl w:val="11845C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96B2A59"/>
    <w:multiLevelType w:val="multilevel"/>
    <w:tmpl w:val="AB4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A694B"/>
    <w:multiLevelType w:val="hybridMultilevel"/>
    <w:tmpl w:val="C32ACF8A"/>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6C3E4856"/>
    <w:multiLevelType w:val="hybridMultilevel"/>
    <w:tmpl w:val="C32E5CBC"/>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num w:numId="1" w16cid:durableId="1377195601">
    <w:abstractNumId w:val="3"/>
  </w:num>
  <w:num w:numId="2" w16cid:durableId="556824558">
    <w:abstractNumId w:val="8"/>
  </w:num>
  <w:num w:numId="3" w16cid:durableId="1521048965">
    <w:abstractNumId w:val="4"/>
  </w:num>
  <w:num w:numId="4" w16cid:durableId="388116272">
    <w:abstractNumId w:val="7"/>
  </w:num>
  <w:num w:numId="5" w16cid:durableId="1142309477">
    <w:abstractNumId w:val="12"/>
  </w:num>
  <w:num w:numId="6" w16cid:durableId="1109662043">
    <w:abstractNumId w:val="11"/>
  </w:num>
  <w:num w:numId="7" w16cid:durableId="5138661">
    <w:abstractNumId w:val="10"/>
  </w:num>
  <w:num w:numId="8" w16cid:durableId="1507793875">
    <w:abstractNumId w:val="6"/>
  </w:num>
  <w:num w:numId="9" w16cid:durableId="1072701583">
    <w:abstractNumId w:val="9"/>
  </w:num>
  <w:num w:numId="10" w16cid:durableId="1559776537">
    <w:abstractNumId w:val="13"/>
  </w:num>
  <w:num w:numId="11" w16cid:durableId="298389657">
    <w:abstractNumId w:val="0"/>
  </w:num>
  <w:num w:numId="12" w16cid:durableId="1033723653">
    <w:abstractNumId w:val="2"/>
  </w:num>
  <w:num w:numId="13" w16cid:durableId="136387422">
    <w:abstractNumId w:val="5"/>
  </w:num>
  <w:num w:numId="14" w16cid:durableId="1732266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1CC"/>
    <w:rsid w:val="00023CAA"/>
    <w:rsid w:val="00027C5D"/>
    <w:rsid w:val="0003328F"/>
    <w:rsid w:val="000F26A7"/>
    <w:rsid w:val="00167EAF"/>
    <w:rsid w:val="0018454F"/>
    <w:rsid w:val="0019107D"/>
    <w:rsid w:val="001F7BF0"/>
    <w:rsid w:val="002463CA"/>
    <w:rsid w:val="002A439D"/>
    <w:rsid w:val="00337F8F"/>
    <w:rsid w:val="003460B2"/>
    <w:rsid w:val="00362CA8"/>
    <w:rsid w:val="00376B21"/>
    <w:rsid w:val="00393C80"/>
    <w:rsid w:val="003A4DB5"/>
    <w:rsid w:val="003D4A13"/>
    <w:rsid w:val="003E23E8"/>
    <w:rsid w:val="003F1EC1"/>
    <w:rsid w:val="003F2758"/>
    <w:rsid w:val="00421809"/>
    <w:rsid w:val="00457D04"/>
    <w:rsid w:val="00461E1D"/>
    <w:rsid w:val="00482CE3"/>
    <w:rsid w:val="004845BD"/>
    <w:rsid w:val="004925F6"/>
    <w:rsid w:val="004C7A92"/>
    <w:rsid w:val="004D4412"/>
    <w:rsid w:val="0053031E"/>
    <w:rsid w:val="0056490C"/>
    <w:rsid w:val="00575256"/>
    <w:rsid w:val="00577036"/>
    <w:rsid w:val="005972AE"/>
    <w:rsid w:val="00597C65"/>
    <w:rsid w:val="005B03A2"/>
    <w:rsid w:val="0061655E"/>
    <w:rsid w:val="00623BD7"/>
    <w:rsid w:val="00637CA9"/>
    <w:rsid w:val="00640069"/>
    <w:rsid w:val="00652A95"/>
    <w:rsid w:val="00653860"/>
    <w:rsid w:val="00671876"/>
    <w:rsid w:val="00682B14"/>
    <w:rsid w:val="00684735"/>
    <w:rsid w:val="00685951"/>
    <w:rsid w:val="00693DC3"/>
    <w:rsid w:val="00714343"/>
    <w:rsid w:val="0072343F"/>
    <w:rsid w:val="007551EC"/>
    <w:rsid w:val="00770B02"/>
    <w:rsid w:val="007B5483"/>
    <w:rsid w:val="007E24D7"/>
    <w:rsid w:val="00813D0B"/>
    <w:rsid w:val="00832507"/>
    <w:rsid w:val="00856583"/>
    <w:rsid w:val="00883895"/>
    <w:rsid w:val="008900F1"/>
    <w:rsid w:val="00890819"/>
    <w:rsid w:val="00931558"/>
    <w:rsid w:val="009529DF"/>
    <w:rsid w:val="009C439F"/>
    <w:rsid w:val="009C70A7"/>
    <w:rsid w:val="009F26F6"/>
    <w:rsid w:val="009F780E"/>
    <w:rsid w:val="00A26348"/>
    <w:rsid w:val="00A43E78"/>
    <w:rsid w:val="00A56F1B"/>
    <w:rsid w:val="00AB2E3F"/>
    <w:rsid w:val="00B358D6"/>
    <w:rsid w:val="00B8656C"/>
    <w:rsid w:val="00B92CD3"/>
    <w:rsid w:val="00B950E2"/>
    <w:rsid w:val="00C074D7"/>
    <w:rsid w:val="00C17EE4"/>
    <w:rsid w:val="00C32FF0"/>
    <w:rsid w:val="00C341CC"/>
    <w:rsid w:val="00C35502"/>
    <w:rsid w:val="00C46564"/>
    <w:rsid w:val="00C630BA"/>
    <w:rsid w:val="00C836C1"/>
    <w:rsid w:val="00D401AA"/>
    <w:rsid w:val="00D42DB7"/>
    <w:rsid w:val="00D56DBA"/>
    <w:rsid w:val="00DC7896"/>
    <w:rsid w:val="00E01BAD"/>
    <w:rsid w:val="00E543F8"/>
    <w:rsid w:val="00E56864"/>
    <w:rsid w:val="00ED5474"/>
    <w:rsid w:val="00EF46C1"/>
    <w:rsid w:val="00F10C18"/>
    <w:rsid w:val="00F12692"/>
    <w:rsid w:val="00F15AAC"/>
    <w:rsid w:val="00F17EEE"/>
    <w:rsid w:val="00F548B0"/>
    <w:rsid w:val="00F872D3"/>
    <w:rsid w:val="00FC61D1"/>
  </w:rsids>
  <m:mathPr>
    <m:mathFont m:val="Cambria Math"/>
    <m:brkBin m:val="before"/>
    <m:brkBinSub m:val="--"/>
    <m:smallFrac m:val="0"/>
    <m:dispDef/>
    <m:lMargin m:val="0"/>
    <m:rMargin m:val="0"/>
    <m:defJc m:val="centerGroup"/>
    <m:wrapIndent m:val="1440"/>
    <m:intLim m:val="subSup"/>
    <m:naryLim m:val="undOvr"/>
  </m:mathPr>
  <w:themeFontLang w:val="es-ES_trad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171CE"/>
  <w15:docId w15:val="{861F208E-4C6E-4927-BCC9-6905DC45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DD5689"/>
  </w:style>
  <w:style w:type="character" w:customStyle="1" w:styleId="PiedepginaCar">
    <w:name w:val="Pie de página Car"/>
    <w:basedOn w:val="Fuentedeprrafopredeter"/>
    <w:link w:val="Piedepgina"/>
    <w:uiPriority w:val="99"/>
    <w:qFormat/>
    <w:rsid w:val="00DD5689"/>
  </w:style>
  <w:style w:type="character" w:customStyle="1" w:styleId="TextoindependienteCar">
    <w:name w:val="Texto independiente Car"/>
    <w:basedOn w:val="Fuentedeprrafopredeter"/>
    <w:link w:val="Textoindependiente"/>
    <w:uiPriority w:val="1"/>
    <w:qFormat/>
    <w:rsid w:val="00981746"/>
    <w:rPr>
      <w:rFonts w:ascii="Arial" w:eastAsia="Arial" w:hAnsi="Arial" w:cs="Arial"/>
      <w:b/>
      <w:bCs/>
      <w:sz w:val="19"/>
      <w:szCs w:val="19"/>
      <w:lang w:val="es-ES" w:eastAsia="es-ES" w:bidi="es-ES"/>
    </w:rPr>
  </w:style>
  <w:style w:type="character" w:customStyle="1" w:styleId="TextocomentarioCar">
    <w:name w:val="Texto comentario Car"/>
    <w:basedOn w:val="Fuentedeprrafopredeter"/>
    <w:link w:val="Textocomentario"/>
    <w:qFormat/>
    <w:rsid w:val="00981746"/>
    <w:rPr>
      <w:rFonts w:ascii="Arial" w:eastAsia="Arial" w:hAnsi="Arial" w:cs="Arial"/>
      <w:sz w:val="20"/>
      <w:szCs w:val="20"/>
      <w:lang w:val="es-ES" w:eastAsia="es-ES" w:bidi="es-ES"/>
    </w:rPr>
  </w:style>
  <w:style w:type="character" w:styleId="Refdecomentario">
    <w:name w:val="annotation reference"/>
    <w:basedOn w:val="Fuentedeprrafopredeter"/>
    <w:uiPriority w:val="99"/>
    <w:semiHidden/>
    <w:unhideWhenUsed/>
    <w:qFormat/>
    <w:rsid w:val="00092567"/>
    <w:rPr>
      <w:sz w:val="16"/>
      <w:szCs w:val="16"/>
    </w:rPr>
  </w:style>
  <w:style w:type="character" w:customStyle="1" w:styleId="AsuntodelcomentarioCar">
    <w:name w:val="Asunto del comentario Car"/>
    <w:basedOn w:val="TextocomentarioCar"/>
    <w:link w:val="Asuntodelcomentario"/>
    <w:uiPriority w:val="99"/>
    <w:semiHidden/>
    <w:qFormat/>
    <w:rsid w:val="00092567"/>
    <w:rPr>
      <w:rFonts w:ascii="Arial" w:eastAsia="Arial" w:hAnsi="Arial" w:cs="Arial"/>
      <w:b/>
      <w:bCs/>
      <w:sz w:val="20"/>
      <w:szCs w:val="20"/>
      <w:lang w:val="es-ES" w:eastAsia="es-ES" w:bidi="es-ES"/>
    </w:rPr>
  </w:style>
  <w:style w:type="character" w:styleId="Hipervnculo">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981746"/>
    <w:pPr>
      <w:widowControl w:val="0"/>
    </w:pPr>
    <w:rPr>
      <w:rFonts w:ascii="Arial" w:eastAsia="Arial" w:hAnsi="Arial" w:cs="Arial"/>
      <w:b/>
      <w:bCs/>
      <w:sz w:val="19"/>
      <w:szCs w:val="19"/>
      <w:lang w:val="es-ES" w:eastAsia="es-ES" w:bidi="es-ES"/>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DD5689"/>
    <w:pPr>
      <w:tabs>
        <w:tab w:val="center" w:pos="4252"/>
        <w:tab w:val="right" w:pos="8504"/>
      </w:tabs>
    </w:pPr>
  </w:style>
  <w:style w:type="paragraph" w:styleId="Piedepgina">
    <w:name w:val="footer"/>
    <w:basedOn w:val="Normal"/>
    <w:link w:val="PiedepginaCar"/>
    <w:uiPriority w:val="99"/>
    <w:unhideWhenUsed/>
    <w:rsid w:val="00DD5689"/>
    <w:pPr>
      <w:tabs>
        <w:tab w:val="center" w:pos="4252"/>
        <w:tab w:val="right" w:pos="8504"/>
      </w:tabs>
    </w:pPr>
  </w:style>
  <w:style w:type="paragraph" w:styleId="Prrafodelista">
    <w:name w:val="List Paragraph"/>
    <w:basedOn w:val="Normal"/>
    <w:uiPriority w:val="1"/>
    <w:qFormat/>
    <w:rsid w:val="00981746"/>
    <w:pPr>
      <w:widowControl w:val="0"/>
      <w:ind w:left="333" w:hanging="212"/>
    </w:pPr>
    <w:rPr>
      <w:rFonts w:ascii="Arial" w:eastAsia="Arial" w:hAnsi="Arial" w:cs="Arial"/>
      <w:sz w:val="22"/>
      <w:szCs w:val="22"/>
      <w:lang w:val="es-ES" w:eastAsia="es-ES" w:bidi="es-ES"/>
    </w:rPr>
  </w:style>
  <w:style w:type="paragraph" w:customStyle="1" w:styleId="TableParagraph">
    <w:name w:val="Table Paragraph"/>
    <w:basedOn w:val="Normal"/>
    <w:uiPriority w:val="1"/>
    <w:qFormat/>
    <w:rsid w:val="00981746"/>
    <w:pPr>
      <w:widowControl w:val="0"/>
    </w:pPr>
    <w:rPr>
      <w:rFonts w:ascii="Arial" w:eastAsia="Arial" w:hAnsi="Arial" w:cs="Arial"/>
      <w:sz w:val="22"/>
      <w:szCs w:val="22"/>
      <w:lang w:val="es-ES" w:eastAsia="es-ES" w:bidi="es-ES"/>
    </w:rPr>
  </w:style>
  <w:style w:type="paragraph" w:styleId="Textocomentario">
    <w:name w:val="annotation text"/>
    <w:basedOn w:val="Normal"/>
    <w:link w:val="TextocomentarioCar"/>
    <w:unhideWhenUsed/>
    <w:qFormat/>
    <w:rsid w:val="00981746"/>
    <w:pPr>
      <w:widowControl w:val="0"/>
    </w:pPr>
    <w:rPr>
      <w:rFonts w:ascii="Arial" w:eastAsia="Arial" w:hAnsi="Arial" w:cs="Arial"/>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qFormat/>
    <w:rsid w:val="00092567"/>
    <w:pPr>
      <w:widowControl/>
    </w:pPr>
    <w:rPr>
      <w:rFonts w:asciiTheme="minorHAnsi" w:eastAsiaTheme="minorHAnsi" w:hAnsiTheme="minorHAnsi" w:cstheme="minorBidi"/>
      <w:b/>
      <w:bCs/>
      <w:lang w:val="es-ES_tradnl" w:eastAsia="en-US" w:bidi="ar-SA"/>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rsid w:val="00981746"/>
    <w:rPr>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3031E"/>
    <w:rPr>
      <w:color w:val="605E5C"/>
      <w:shd w:val="clear" w:color="auto" w:fill="E1DFDD"/>
    </w:rPr>
  </w:style>
  <w:style w:type="paragraph" w:styleId="NormalWeb">
    <w:name w:val="Normal (Web)"/>
    <w:basedOn w:val="Normal"/>
    <w:uiPriority w:val="99"/>
    <w:unhideWhenUsed/>
    <w:rsid w:val="00F12692"/>
    <w:pPr>
      <w:suppressAutoHyphens w:val="0"/>
      <w:spacing w:before="100" w:beforeAutospacing="1" w:after="100" w:afterAutospacing="1"/>
    </w:pPr>
    <w:rPr>
      <w:rFonts w:ascii="Times New Roman" w:eastAsia="Times New Roman" w:hAnsi="Times New Roman" w:cs="Times New Roman"/>
      <w:lang w:eastAsia="es-EC"/>
    </w:rPr>
  </w:style>
  <w:style w:type="character" w:styleId="Fuerte">
    <w:name w:val="Strong"/>
    <w:basedOn w:val="Fuentedeprrafopredeter"/>
    <w:uiPriority w:val="22"/>
    <w:qFormat/>
    <w:rsid w:val="0072343F"/>
    <w:rPr>
      <w:b/>
      <w:bCs/>
    </w:rPr>
  </w:style>
  <w:style w:type="character" w:styleId="nfasis">
    <w:name w:val="Emphasis"/>
    <w:basedOn w:val="Fuentedeprrafopredeter"/>
    <w:uiPriority w:val="20"/>
    <w:qFormat/>
    <w:rsid w:val="00723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4000">
      <w:bodyDiv w:val="1"/>
      <w:marLeft w:val="0"/>
      <w:marRight w:val="0"/>
      <w:marTop w:val="0"/>
      <w:marBottom w:val="0"/>
      <w:divBdr>
        <w:top w:val="none" w:sz="0" w:space="0" w:color="auto"/>
        <w:left w:val="none" w:sz="0" w:space="0" w:color="auto"/>
        <w:bottom w:val="none" w:sz="0" w:space="0" w:color="auto"/>
        <w:right w:val="none" w:sz="0" w:space="0" w:color="auto"/>
      </w:divBdr>
    </w:div>
    <w:div w:id="338239055">
      <w:bodyDiv w:val="1"/>
      <w:marLeft w:val="0"/>
      <w:marRight w:val="0"/>
      <w:marTop w:val="0"/>
      <w:marBottom w:val="0"/>
      <w:divBdr>
        <w:top w:val="none" w:sz="0" w:space="0" w:color="auto"/>
        <w:left w:val="none" w:sz="0" w:space="0" w:color="auto"/>
        <w:bottom w:val="none" w:sz="0" w:space="0" w:color="auto"/>
        <w:right w:val="none" w:sz="0" w:space="0" w:color="auto"/>
      </w:divBdr>
    </w:div>
    <w:div w:id="538667446">
      <w:bodyDiv w:val="1"/>
      <w:marLeft w:val="0"/>
      <w:marRight w:val="0"/>
      <w:marTop w:val="0"/>
      <w:marBottom w:val="0"/>
      <w:divBdr>
        <w:top w:val="none" w:sz="0" w:space="0" w:color="auto"/>
        <w:left w:val="none" w:sz="0" w:space="0" w:color="auto"/>
        <w:bottom w:val="none" w:sz="0" w:space="0" w:color="auto"/>
        <w:right w:val="none" w:sz="0" w:space="0" w:color="auto"/>
      </w:divBdr>
    </w:div>
    <w:div w:id="746658317">
      <w:bodyDiv w:val="1"/>
      <w:marLeft w:val="0"/>
      <w:marRight w:val="0"/>
      <w:marTop w:val="0"/>
      <w:marBottom w:val="0"/>
      <w:divBdr>
        <w:top w:val="none" w:sz="0" w:space="0" w:color="auto"/>
        <w:left w:val="none" w:sz="0" w:space="0" w:color="auto"/>
        <w:bottom w:val="none" w:sz="0" w:space="0" w:color="auto"/>
        <w:right w:val="none" w:sz="0" w:space="0" w:color="auto"/>
      </w:divBdr>
    </w:div>
    <w:div w:id="931277428">
      <w:bodyDiv w:val="1"/>
      <w:marLeft w:val="0"/>
      <w:marRight w:val="0"/>
      <w:marTop w:val="0"/>
      <w:marBottom w:val="0"/>
      <w:divBdr>
        <w:top w:val="none" w:sz="0" w:space="0" w:color="auto"/>
        <w:left w:val="none" w:sz="0" w:space="0" w:color="auto"/>
        <w:bottom w:val="none" w:sz="0" w:space="0" w:color="auto"/>
        <w:right w:val="none" w:sz="0" w:space="0" w:color="auto"/>
      </w:divBdr>
    </w:div>
    <w:div w:id="939410635">
      <w:bodyDiv w:val="1"/>
      <w:marLeft w:val="0"/>
      <w:marRight w:val="0"/>
      <w:marTop w:val="0"/>
      <w:marBottom w:val="0"/>
      <w:divBdr>
        <w:top w:val="none" w:sz="0" w:space="0" w:color="auto"/>
        <w:left w:val="none" w:sz="0" w:space="0" w:color="auto"/>
        <w:bottom w:val="none" w:sz="0" w:space="0" w:color="auto"/>
        <w:right w:val="none" w:sz="0" w:space="0" w:color="auto"/>
      </w:divBdr>
    </w:div>
    <w:div w:id="1072896124">
      <w:bodyDiv w:val="1"/>
      <w:marLeft w:val="0"/>
      <w:marRight w:val="0"/>
      <w:marTop w:val="0"/>
      <w:marBottom w:val="0"/>
      <w:divBdr>
        <w:top w:val="none" w:sz="0" w:space="0" w:color="auto"/>
        <w:left w:val="none" w:sz="0" w:space="0" w:color="auto"/>
        <w:bottom w:val="none" w:sz="0" w:space="0" w:color="auto"/>
        <w:right w:val="none" w:sz="0" w:space="0" w:color="auto"/>
      </w:divBdr>
    </w:div>
    <w:div w:id="1702393067">
      <w:bodyDiv w:val="1"/>
      <w:marLeft w:val="0"/>
      <w:marRight w:val="0"/>
      <w:marTop w:val="0"/>
      <w:marBottom w:val="0"/>
      <w:divBdr>
        <w:top w:val="none" w:sz="0" w:space="0" w:color="auto"/>
        <w:left w:val="none" w:sz="0" w:space="0" w:color="auto"/>
        <w:bottom w:val="none" w:sz="0" w:space="0" w:color="auto"/>
        <w:right w:val="none" w:sz="0" w:space="0" w:color="auto"/>
      </w:divBdr>
    </w:div>
    <w:div w:id="1978800289">
      <w:bodyDiv w:val="1"/>
      <w:marLeft w:val="0"/>
      <w:marRight w:val="0"/>
      <w:marTop w:val="0"/>
      <w:marBottom w:val="0"/>
      <w:divBdr>
        <w:top w:val="none" w:sz="0" w:space="0" w:color="auto"/>
        <w:left w:val="none" w:sz="0" w:space="0" w:color="auto"/>
        <w:bottom w:val="none" w:sz="0" w:space="0" w:color="auto"/>
        <w:right w:val="none" w:sz="0" w:space="0" w:color="auto"/>
      </w:divBdr>
    </w:div>
    <w:div w:id="2066103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anb\OneDrive\Documentos\Plantillas%20personalizadas%20de%20Office\Luiggi%20Andrei%20Bernardi%20Zambran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06E72-B4C2-4373-858D-CC34EE97C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Luiggi Andrei Bernardi Zambrano.dotx</Template>
  <TotalTime>0</TotalTime>
  <Pages>8</Pages>
  <Words>2139</Words>
  <Characters>11769</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Bernardi</dc:creator>
  <cp:keywords/>
  <dc:description/>
  <cp:lastModifiedBy>BERNARDI ZAMBRANO LUIGGI ANDREI</cp:lastModifiedBy>
  <cp:revision>1</cp:revision>
  <cp:lastPrinted>2025-07-15T03:46:00Z</cp:lastPrinted>
  <dcterms:created xsi:type="dcterms:W3CDTF">2026-08-07T17:21:00Z</dcterms:created>
  <dcterms:modified xsi:type="dcterms:W3CDTF">2026-08-07T17:21:00Z</dcterms:modified>
  <dc:language>en-US</dc:language>
</cp:coreProperties>
</file>