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RePoints / RePoints</w:t>
      </w:r>
    </w:p>
    <w:p>
      <w:pPr>
        <w:spacing w:after="40"/>
      </w:pPr>
      <w:r>
        <w:rPr>
          <w:b/>
          <w:bCs/>
          <w:color w:val="2E7D4F"/>
          <w:sz w:val="26"/>
          <w:szCs w:val="26"/>
        </w:rPr>
        <w:t xml:space="preserve">Documento de Defensa Oral del Proyecto Integrador</w:t>
      </w:r>
    </w:p>
    <w:p>
      <w:pPr>
        <w:spacing w:after="300"/>
      </w:pPr>
      <w:r>
        <w:rPr>
          <w:i/>
          <w:iCs/>
          <w:color w:val="666666"/>
          <w:sz w:val="20"/>
          <w:szCs w:val="20"/>
        </w:rPr>
        <w:t xml:space="preserve">Preguntas y respuestas anticipadas, datos clave del dataset, del entrenamiento y de los resultados, y mapa de qué hace cada parte del código/notebook. Preparado a partir de los tres informes (Diseño, Análisis del Dataset, Implementación y Evaluación) y del guion de presentación.</w:t>
      </w:r>
    </w:p>
    <w:p>
      <w:pPr>
        <w:pStyle w:val="Heading1"/>
        <w:spacing w:after="160" w:before="360"/>
      </w:pPr>
      <w:r>
        <w:t xml:space="preserve">0. Resumen ejecutivo (lo primero que debe salir de memoria)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tcPr>
          <w:p>
            <w:r>
              <w:rPr>
                <w:b/>
                <w:bCs/>
                <w:color w:val="FFFFFF"/>
                <w:sz w:val="20"/>
                <w:szCs w:val="20"/>
              </w:rPr>
              <w:t xml:space="preserve">Dato</w:t>
            </w:r>
          </w:p>
        </w:tc>
        <w:tc>
          <w:tcPr>
            <w:tcW w:type="dxa" w:w="6300"/>
            <w:shd w:fill="1F3B57" w:val="clear"/>
            <w:tcMar>
              <w:top w:type="dxa" w:w="80"/>
              <w:left w:type="dxa" w:w="100"/>
              <w:bottom w:type="dxa" w:w="80"/>
              <w:right w:type="dxa" w:w="100"/>
            </w:tcMar>
          </w:tcPr>
          <w:p>
            <w:r>
              <w:rPr>
                <w:b/>
                <w:bCs/>
                <w:color w:val="FFFFFF"/>
                <w:sz w:val="20"/>
                <w:szCs w:val="20"/>
              </w:rPr>
              <w:t xml:space="preserve">Valor</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Problema</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Separación manual de plástico/vidrio en el campus; contaminación cruzada de reciclables.</w:t>
            </w:r>
          </w:p>
        </w:tc>
      </w:tr>
      <w:tr>
        <w:tc>
          <w:tcPr>
            <w:tcW w:type="dxa" w:w="3200"/>
            <w:tcMar>
              <w:top w:type="dxa" w:w="80"/>
              <w:left w:type="dxa" w:w="100"/>
              <w:bottom w:type="dxa" w:w="80"/>
              <w:right w:type="dxa" w:w="100"/>
            </w:tcMar>
          </w:tcPr>
          <w:p>
            <w:r>
              <w:rPr>
                <w:b w:val="false"/>
                <w:bCs w:val="false"/>
                <w:color w:val="000000"/>
                <w:sz w:val="20"/>
                <w:szCs w:val="20"/>
              </w:rPr>
              <w:t xml:space="preserve">Hardware</w:t>
            </w:r>
          </w:p>
        </w:tc>
        <w:tc>
          <w:tcPr>
            <w:tcW w:type="dxa" w:w="6300"/>
            <w:tcMar>
              <w:top w:type="dxa" w:w="80"/>
              <w:left w:type="dxa" w:w="100"/>
              <w:bottom w:type="dxa" w:w="80"/>
              <w:right w:type="dxa" w:w="100"/>
            </w:tcMar>
          </w:tcPr>
          <w:p>
            <w:r>
              <w:rPr>
                <w:b w:val="false"/>
                <w:bCs w:val="false"/>
                <w:color w:val="000000"/>
                <w:sz w:val="20"/>
                <w:szCs w:val="20"/>
              </w:rPr>
              <w:t xml:space="preserve">Raspberry Pi 5 (sin GPU dedicada) + cámara USB + cámara lectora de QR de usuario.</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Modelo</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MobileNetV2 (transfer learning desde ImageNet), 3.4M parámetros, exportado a TensorFlow Lite.</w:t>
            </w:r>
          </w:p>
        </w:tc>
      </w:tr>
      <w:tr>
        <w:tc>
          <w:tcPr>
            <w:tcW w:type="dxa" w:w="3200"/>
            <w:tcMar>
              <w:top w:type="dxa" w:w="80"/>
              <w:left w:type="dxa" w:w="100"/>
              <w:bottom w:type="dxa" w:w="80"/>
              <w:right w:type="dxa" w:w="100"/>
            </w:tcMar>
          </w:tcPr>
          <w:p>
            <w:r>
              <w:rPr>
                <w:b w:val="false"/>
                <w:bCs w:val="false"/>
                <w:color w:val="000000"/>
                <w:sz w:val="20"/>
                <w:szCs w:val="20"/>
              </w:rPr>
              <w:t xml:space="preserve">Dataset final</w:t>
            </w:r>
          </w:p>
        </w:tc>
        <w:tc>
          <w:tcPr>
            <w:tcW w:type="dxa" w:w="6300"/>
            <w:tcMar>
              <w:top w:type="dxa" w:w="80"/>
              <w:left w:type="dxa" w:w="100"/>
              <w:bottom w:type="dxa" w:w="80"/>
              <w:right w:type="dxa" w:w="100"/>
            </w:tcMar>
          </w:tcPr>
          <w:p>
            <w:r>
              <w:rPr>
                <w:b w:val="false"/>
                <w:bCs w:val="false"/>
                <w:color w:val="000000"/>
                <w:sz w:val="20"/>
                <w:szCs w:val="20"/>
              </w:rPr>
              <w:t xml:space="preserve">2670 imágenes limpias: 1438 plástico (PET) / 1232 vidrio (Glass).</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División</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70% train (1868) / 15% val (399) / 15% test (403), estratificada, random_state=42.</w:t>
            </w:r>
          </w:p>
        </w:tc>
      </w:tr>
      <w:tr>
        <w:tc>
          <w:tcPr>
            <w:tcW w:type="dxa" w:w="3200"/>
            <w:tcMar>
              <w:top w:type="dxa" w:w="80"/>
              <w:left w:type="dxa" w:w="100"/>
              <w:bottom w:type="dxa" w:w="80"/>
              <w:right w:type="dxa" w:w="100"/>
            </w:tcMar>
          </w:tcPr>
          <w:p>
            <w:r>
              <w:rPr>
                <w:b w:val="false"/>
                <w:bCs w:val="false"/>
                <w:color w:val="000000"/>
                <w:sz w:val="20"/>
                <w:szCs w:val="20"/>
              </w:rPr>
              <w:t xml:space="preserve">Entrenamiento</w:t>
            </w:r>
          </w:p>
        </w:tc>
        <w:tc>
          <w:tcPr>
            <w:tcW w:type="dxa" w:w="6300"/>
            <w:tcMar>
              <w:top w:type="dxa" w:w="80"/>
              <w:left w:type="dxa" w:w="100"/>
              <w:bottom w:type="dxa" w:w="80"/>
              <w:right w:type="dxa" w:w="100"/>
            </w:tcMar>
          </w:tcPr>
          <w:p>
            <w:r>
              <w:rPr>
                <w:b w:val="false"/>
                <w:bCs w:val="false"/>
                <w:color w:val="000000"/>
                <w:sz w:val="20"/>
                <w:szCs w:val="20"/>
              </w:rPr>
              <w:t xml:space="preserve">2 fases: Fase 1 = 12 épocas (base congelada); Fase 2 = 10 épocas fine-tuning (últimas 30 capas). 22 épocas efectivas de 30 posibles, con early stopping.</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Tiempo de entrenamiento</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854 s (~14.2 min) en CPU: 455.9 s fase 1 + 398.1 s fase 2.</w:t>
            </w:r>
          </w:p>
        </w:tc>
      </w:tr>
      <w:tr>
        <w:tc>
          <w:tcPr>
            <w:tcW w:type="dxa" w:w="3200"/>
            <w:tcMar>
              <w:top w:type="dxa" w:w="80"/>
              <w:left w:type="dxa" w:w="100"/>
              <w:bottom w:type="dxa" w:w="80"/>
              <w:right w:type="dxa" w:w="100"/>
            </w:tcMar>
          </w:tcPr>
          <w:p>
            <w:r>
              <w:rPr>
                <w:b w:val="false"/>
                <w:bCs w:val="false"/>
                <w:color w:val="000000"/>
                <w:sz w:val="20"/>
                <w:szCs w:val="20"/>
              </w:rPr>
              <w:t xml:space="preserve">Resultado en test (403 img.)</w:t>
            </w:r>
          </w:p>
        </w:tc>
        <w:tc>
          <w:tcPr>
            <w:tcW w:type="dxa" w:w="6300"/>
            <w:tcMar>
              <w:top w:type="dxa" w:w="80"/>
              <w:left w:type="dxa" w:w="100"/>
              <w:bottom w:type="dxa" w:w="80"/>
              <w:right w:type="dxa" w:w="100"/>
            </w:tcMar>
          </w:tcPr>
          <w:p>
            <w:r>
              <w:rPr>
                <w:b w:val="false"/>
                <w:bCs w:val="false"/>
                <w:color w:val="000000"/>
                <w:sz w:val="20"/>
                <w:szCs w:val="20"/>
              </w:rPr>
              <w:t xml:space="preserve">Accuracy 97.02% · F1 ponderado 0.9701 · Precision ponderada 0.9718 · Recall ponderado 0.9702.</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Matriz de confusión</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Plástico: 217/217 correctas. Vidrio: 174/186 correctas, 12 vidrios predichos como plástico (0 falsos positivos de vidrio→plástico en sentido inverso).</w:t>
            </w:r>
          </w:p>
        </w:tc>
      </w:tr>
      <w:tr>
        <w:tc>
          <w:tcPr>
            <w:tcW w:type="dxa" w:w="3200"/>
            <w:tcMar>
              <w:top w:type="dxa" w:w="80"/>
              <w:left w:type="dxa" w:w="100"/>
              <w:bottom w:type="dxa" w:w="80"/>
              <w:right w:type="dxa" w:w="100"/>
            </w:tcMar>
          </w:tcPr>
          <w:p>
            <w:r>
              <w:rPr>
                <w:b w:val="false"/>
                <w:bCs w:val="false"/>
                <w:color w:val="000000"/>
                <w:sz w:val="20"/>
                <w:szCs w:val="20"/>
              </w:rPr>
              <w:t xml:space="preserve">Inferencia</w:t>
            </w:r>
          </w:p>
        </w:tc>
        <w:tc>
          <w:tcPr>
            <w:tcW w:type="dxa" w:w="6300"/>
            <w:tcMar>
              <w:top w:type="dxa" w:w="80"/>
              <w:left w:type="dxa" w:w="100"/>
              <w:bottom w:type="dxa" w:w="80"/>
              <w:right w:type="dxa" w:w="100"/>
            </w:tcMar>
          </w:tcPr>
          <w:p>
            <w:r>
              <w:rPr>
                <w:b w:val="false"/>
                <w:bCs w:val="false"/>
                <w:color w:val="000000"/>
                <w:sz w:val="20"/>
                <w:szCs w:val="20"/>
              </w:rPr>
              <w:t xml:space="preserve">139.7 ms por imagen en CPU (Raspberry Pi 5).</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Prueba adicional</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24 imágenes nuevas, 24/24 correctas (100%), registradas en pruebas_modelo.csv.</w:t>
            </w:r>
          </w:p>
        </w:tc>
      </w:tr>
      <w:tr>
        <w:tc>
          <w:tcPr>
            <w:tcW w:type="dxa" w:w="3200"/>
            <w:tcMar>
              <w:top w:type="dxa" w:w="80"/>
              <w:left w:type="dxa" w:w="100"/>
              <w:bottom w:type="dxa" w:w="80"/>
              <w:right w:type="dxa" w:w="100"/>
            </w:tcMar>
          </w:tcPr>
          <w:p>
            <w:r>
              <w:rPr>
                <w:b w:val="false"/>
                <w:bCs w:val="false"/>
                <w:color w:val="000000"/>
                <w:sz w:val="20"/>
                <w:szCs w:val="20"/>
              </w:rPr>
              <w:t xml:space="preserve">Modelo exportado</w:t>
            </w:r>
          </w:p>
        </w:tc>
        <w:tc>
          <w:tcPr>
            <w:tcW w:type="dxa" w:w="6300"/>
            <w:tcMar>
              <w:top w:type="dxa" w:w="80"/>
              <w:left w:type="dxa" w:w="100"/>
              <w:bottom w:type="dxa" w:w="80"/>
              <w:right w:type="dxa" w:w="100"/>
            </w:tcMar>
          </w:tcPr>
          <w:p>
            <w:r>
              <w:rPr>
                <w:b w:val="false"/>
                <w:bCs w:val="false"/>
                <w:color w:val="000000"/>
                <w:sz w:val="20"/>
                <w:szCs w:val="20"/>
              </w:rPr>
              <w:t xml:space="preserve">ecosort_mobilenetv2.keras (~20.88 MB) y ecosort_mobilenetv2.tflite cuantizado (2.41 MB).</w:t>
            </w:r>
          </w:p>
        </w:tc>
      </w:tr>
      <w:tr>
        <w:tc>
          <w:tcPr>
            <w:tcW w:type="dxa" w:w="3200"/>
            <w:shd w:fill="EAF2EC" w:val="clear"/>
            <w:tcMar>
              <w:top w:type="dxa" w:w="80"/>
              <w:left w:type="dxa" w:w="100"/>
              <w:bottom w:type="dxa" w:w="80"/>
              <w:right w:type="dxa" w:w="100"/>
            </w:tcMar>
          </w:tcPr>
          <w:p>
            <w:r>
              <w:rPr>
                <w:b w:val="false"/>
                <w:bCs w:val="false"/>
                <w:color w:val="000000"/>
                <w:sz w:val="20"/>
                <w:szCs w:val="20"/>
              </w:rPr>
              <w:t xml:space="preserve">Decisión final</w:t>
            </w:r>
          </w:p>
        </w:tc>
        <w:tc>
          <w:tcPr>
            <w:tcW w:type="dxa" w:w="6300"/>
            <w:shd w:fill="EAF2EC" w:val="clear"/>
            <w:tcMar>
              <w:top w:type="dxa" w:w="80"/>
              <w:left w:type="dxa" w:w="100"/>
              <w:bottom w:type="dxa" w:w="80"/>
              <w:right w:type="dxa" w:w="100"/>
            </w:tcMar>
          </w:tcPr>
          <w:p>
            <w:r>
              <w:rPr>
                <w:b w:val="false"/>
                <w:bCs w:val="false"/>
                <w:color w:val="000000"/>
                <w:sz w:val="20"/>
                <w:szCs w:val="20"/>
              </w:rPr>
              <w:t xml:space="preserve">No la toma la IA sola: pasa por un Sistema Experto por reglas (≥85% acepta, 60-84% pide recaptura, &lt;60% marca 'desconocido').</w:t>
            </w:r>
          </w:p>
        </w:tc>
      </w:tr>
    </w:tbl>
    <w:p>
      <w:pPr>
        <w:pStyle w:val="Heading1"/>
        <w:spacing w:after="160" w:before="360"/>
      </w:pPr>
      <w:r>
        <w:t xml:space="preserve">1. Bloque: Arquitectura y hardware</w:t>
      </w:r>
    </w:p>
    <w:p>
      <w:pPr>
        <w:spacing w:after="60" w:before="200"/>
      </w:pPr>
      <w:r>
        <w:rPr>
          <w:b/>
          <w:bCs/>
          <w:color w:val="1F3B57"/>
        </w:rPr>
        <w:t xml:space="preserve">P: </w:t>
      </w:r>
      <w:r>
        <w:rPr>
          <w:b/>
          <w:bCs/>
        </w:rPr>
        <w:t xml:space="preserve">¿Por qué se llama 'máquina expendedora inversa' (Reverse Vending Machine)?</w:t>
      </w:r>
    </w:p>
    <w:p>
      <w:pPr>
        <w:spacing w:after="100"/>
        <w:ind w:left="360"/>
      </w:pPr>
      <w:r>
        <w:rPr>
          <w:b/>
          <w:bCs/>
          <w:color w:val="2E7D4F"/>
        </w:rPr>
        <w:t xml:space="preserve">R: </w:t>
      </w:r>
      <w:r>
        <w:t xml:space="preserve">Porque en vez de entregar un producto a cambio de dinero, el usuario introduce un residuo (plástico o vidrio) y el sistema le entrega puntos de reciclaje a cambio, tras validar el material.</w:t>
      </w:r>
    </w:p>
    <w:p>
      <w:pPr>
        <w:spacing w:after="60" w:before="200"/>
      </w:pPr>
      <w:r>
        <w:rPr>
          <w:b/>
          <w:bCs/>
          <w:color w:val="1F3B57"/>
        </w:rPr>
        <w:t xml:space="preserve">P: </w:t>
      </w:r>
      <w:r>
        <w:rPr>
          <w:b/>
          <w:bCs/>
        </w:rPr>
        <w:t xml:space="preserve">Describan el flujo completo de principio a fin.</w:t>
      </w:r>
    </w:p>
    <w:p>
      <w:pPr>
        <w:spacing w:after="100"/>
        <w:ind w:left="360"/>
      </w:pPr>
      <w:r>
        <w:rPr>
          <w:b/>
          <w:bCs/>
          <w:color w:val="2E7D4F"/>
        </w:rPr>
        <w:t xml:space="preserve">R: </w:t>
      </w:r>
      <w:r>
        <w:t xml:space="preserve">1) Una cámara lee el código QR del usuario para identificarlo. 2) Una segunda cámara captura la imagen del residuo. 3) La imagen se redimensiona a 224×224 px y se normaliza. 4) El modelo MobileNetV2 (TFLite) produce una probabilidad de clase (plástico/vidrio). 5) Esa probabilidad pasa al Sistema Experto, que aplica las reglas de confianza y emite la decisión final. 6) Si se acepta, la transacción se registra en el dashboard web (RePoints) y se asignan puntos al usuario.</w:t>
      </w:r>
    </w:p>
    <w:p>
      <w:pPr>
        <w:spacing w:after="60" w:before="200"/>
      </w:pPr>
      <w:r>
        <w:rPr>
          <w:b/>
          <w:bCs/>
          <w:color w:val="1F3B57"/>
        </w:rPr>
        <w:t xml:space="preserve">P: </w:t>
      </w:r>
      <w:r>
        <w:rPr>
          <w:b/>
          <w:bCs/>
        </w:rPr>
        <w:t xml:space="preserve">¿Por qué la Raspberry Pi 5 y no otro hardware con GPU?</w:t>
      </w:r>
    </w:p>
    <w:p>
      <w:pPr>
        <w:spacing w:after="100"/>
        <w:ind w:left="360"/>
      </w:pPr>
      <w:r>
        <w:rPr>
          <w:b/>
          <w:bCs/>
          <w:color w:val="2E7D4F"/>
        </w:rPr>
        <w:t xml:space="preserve">R: </w:t>
      </w:r>
      <w:r>
        <w:t xml:space="preserve">Es una restricción de diseño del proyecto integrador (bajo costo, portabilidad, integración física en un prototipo de campus). Al no tener GPU dedicada, el modelo de IA tuvo que elegirse específicamente para ser eficiente en CPU: por eso MobileNetV2 y no una CNN pesada tipo VGG/ResNet.</w:t>
      </w:r>
    </w:p>
    <w:p>
      <w:pPr>
        <w:spacing w:after="60" w:before="200"/>
      </w:pPr>
      <w:r>
        <w:rPr>
          <w:b/>
          <w:bCs/>
          <w:color w:val="1F3B57"/>
        </w:rPr>
        <w:t xml:space="preserve">P: </w:t>
      </w:r>
      <w:r>
        <w:rPr>
          <w:b/>
          <w:bCs/>
        </w:rPr>
        <w:t xml:space="preserve">¿Por qué la IA no decide sola?</w:t>
      </w:r>
    </w:p>
    <w:p>
      <w:pPr>
        <w:spacing w:after="100"/>
        <w:ind w:left="360"/>
      </w:pPr>
      <w:r>
        <w:rPr>
          <w:b/>
          <w:bCs/>
          <w:color w:val="2E7D4F"/>
        </w:rPr>
        <w:t xml:space="preserve">R: </w:t>
      </w:r>
      <w:r>
        <w:t xml:space="preserve">Porque ningún modelo es 100% confiable, y un error de clasificación físico (mandar vidrio a la tolva de plástico) es costoso de revertir. El Sistema Experto añade una capa de reglas explicables y ajustables sin reentrenar el modelo: solo se acepta la predicción si la confianza es alta; si es media se pide recaptura; si es baja se marca 'desconocido' en vez de forzar una clase.</w:t>
      </w:r>
    </w:p>
    <w:p>
      <w:pPr>
        <w:pStyle w:val="Heading1"/>
        <w:spacing w:after="160" w:before="360"/>
      </w:pPr>
      <w:r>
        <w:t xml:space="preserve">2. Bloque: Dataset — origen, limpieza y balance</w:t>
      </w:r>
    </w:p>
    <w:p>
      <w:pPr>
        <w:spacing w:after="60" w:before="200"/>
      </w:pPr>
      <w:r>
        <w:rPr>
          <w:b/>
          <w:bCs/>
          <w:color w:val="1F3B57"/>
        </w:rPr>
        <w:t xml:space="preserve">P: </w:t>
      </w:r>
      <w:r>
        <w:rPr>
          <w:b/>
          <w:bCs/>
        </w:rPr>
        <w:t xml:space="preserve">¿De dónde salieron las imágenes?</w:t>
      </w:r>
    </w:p>
    <w:p>
      <w:pPr>
        <w:spacing w:after="100"/>
        <w:ind w:left="360"/>
      </w:pPr>
      <w:r>
        <w:rPr>
          <w:b/>
          <w:bCs/>
          <w:color w:val="2E7D4F"/>
        </w:rPr>
        <w:t xml:space="preserve">R: </w:t>
      </w:r>
      <w:r>
        <w:t xml:space="preserve">Del dataset público de Kaggle 'Drinking Waste Classification' (autor Arkadiy Serezhkin, licencia CC0), originado en un proyecto de fin de carrera en UCL. Tiene 4 clases (latas, vidrio, PET, HDPE) y 14,500 imágenes en total; nosotros solo usamos las carpetas Glass y PET porque el proyecto es binario (plástico vs. vidrio).</w:t>
      </w:r>
    </w:p>
    <w:p>
      <w:pPr>
        <w:spacing w:after="60" w:before="200"/>
      </w:pPr>
      <w:r>
        <w:rPr>
          <w:b/>
          <w:bCs/>
          <w:color w:val="1F3B57"/>
        </w:rPr>
        <w:t xml:space="preserve">P: </w:t>
      </w:r>
      <w:r>
        <w:rPr>
          <w:b/>
          <w:bCs/>
        </w:rPr>
        <w:t xml:space="preserve">¿Por qué hay duplicados y de dónde vienen?</w:t>
      </w:r>
    </w:p>
    <w:p>
      <w:pPr>
        <w:spacing w:after="100"/>
        <w:ind w:left="360"/>
      </w:pPr>
      <w:r>
        <w:rPr>
          <w:b/>
          <w:bCs/>
          <w:color w:val="2E7D4F"/>
        </w:rPr>
        <w:t xml:space="preserve">R: </w:t>
      </w:r>
      <w:r>
        <w:t xml:space="preserve">El propio autor del dataset combinó su captura propia con imágenes reutilizadas de TrashNet (Thung &amp; Yang, UCL/Stanford) específicamente en la clase PET, lo que generó 70 duplicados exactos dentro de esa clase. No hay duplicados que crucen entre clases.</w:t>
      </w:r>
    </w:p>
    <w:p>
      <w:pPr>
        <w:spacing w:after="60" w:before="200"/>
      </w:pPr>
      <w:r>
        <w:rPr>
          <w:b/>
          <w:bCs/>
          <w:color w:val="1F3B57"/>
        </w:rPr>
        <w:t xml:space="preserve">P: </w:t>
      </w:r>
      <w:r>
        <w:rPr>
          <w:b/>
          <w:bCs/>
        </w:rPr>
        <w:t xml:space="preserve">¿Cómo detectaron y eliminaron los duplicados?</w:t>
      </w:r>
    </w:p>
    <w:p>
      <w:pPr>
        <w:spacing w:after="100"/>
        <w:ind w:left="360"/>
      </w:pPr>
      <w:r>
        <w:rPr>
          <w:b/>
          <w:bCs/>
          <w:color w:val="2E7D4F"/>
        </w:rPr>
        <w:t xml:space="preserve">R: </w:t>
      </w:r>
      <w:r>
        <w:t xml:space="preserve">Calculando hash MD5 exacto (para duplicados idénticos byte a byte) y hash perceptual pHash (para casi-idénticos) de cada imagen. Se encontraron 70 grupos de duplicados exactos (140 archivos, 70 redundantes) y se conservó 1 imagen por grupo, eliminando las 70 copias.</w:t>
      </w:r>
    </w:p>
    <w:p>
      <w:pPr>
        <w:spacing w:after="60" w:before="200"/>
      </w:pPr>
      <w:r>
        <w:rPr>
          <w:b/>
          <w:bCs/>
          <w:color w:val="1F3B57"/>
        </w:rPr>
        <w:t xml:space="preserve">P: </w:t>
      </w:r>
      <w:r>
        <w:rPr>
          <w:b/>
          <w:bCs/>
        </w:rPr>
        <w:t xml:space="preserve">¿Qué pasó con las imágenes HEIC?</w:t>
      </w:r>
    </w:p>
    <w:p>
      <w:pPr>
        <w:spacing w:after="100"/>
        <w:ind w:left="360"/>
      </w:pPr>
      <w:r>
        <w:rPr>
          <w:b/>
          <w:bCs/>
          <w:color w:val="2E7D4F"/>
        </w:rPr>
        <w:t xml:space="preserve">R: </w:t>
      </w:r>
      <w:r>
        <w:t xml:space="preserve">8 imágenes de la clase vidrio venían en formato HEIC (nativo de iPhone), no legible por Pillow estándar. En vez de descartarlas, se instaló soporte HEIF (pillow-heif) y se convirtieron a JPG, conservando el 100% de los datos.</w:t>
      </w:r>
    </w:p>
    <w:p>
      <w:pPr>
        <w:spacing w:after="60" w:before="200"/>
      </w:pPr>
      <w:r>
        <w:rPr>
          <w:b/>
          <w:bCs/>
          <w:color w:val="1F3B57"/>
        </w:rPr>
        <w:t xml:space="preserve">P: </w:t>
      </w:r>
      <w:r>
        <w:rPr>
          <w:b/>
          <w:bCs/>
        </w:rPr>
        <w:t xml:space="preserve">¿Cuántas imágenes quedaron al final y cómo se dividieron?</w:t>
      </w:r>
    </w:p>
    <w:p>
      <w:pPr>
        <w:spacing w:after="100"/>
        <w:ind w:left="360"/>
      </w:pPr>
      <w:r>
        <w:rPr>
          <w:b/>
          <w:bCs/>
          <w:color w:val="2E7D4F"/>
        </w:rPr>
        <w:t xml:space="preserve">R: </w:t>
      </w:r>
      <w:r>
        <w:t xml:space="preserve">2670 imágenes limpias: 1438 plástico y 1232 vidrio (antes de limpiar eran 1508 y 1232, razón 1.23:1; después de quitar los 70 duplicados de plástico, razón 1.17:1).</w:t>
      </w:r>
    </w:p>
    <w:p>
      <w:pPr>
        <w:spacing w:after="100"/>
        <w:ind w:left="360"/>
      </w:pPr>
      <w:r>
        <w:rPr>
          <w:b/>
          <w:bCs/>
          <w:color w:val="2E7D4F"/>
        </w:rPr>
        <w:t xml:space="preserve">R: </w:t>
      </w:r>
      <w:r>
        <w:t xml:space="preserve">División estratificada 70/15/15 con semilla fija random_state=42: Entrenamiento 1868 (1006 plástico / 862 vidrio), Validación 399 (215 / 184), Prueba 403 (217 / 186).</w:t>
      </w:r>
    </w:p>
    <w:p>
      <w:pPr>
        <w:spacing w:after="60" w:before="200"/>
      </w:pPr>
      <w:r>
        <w:rPr>
          <w:b/>
          <w:bCs/>
          <w:color w:val="1F3B57"/>
        </w:rPr>
        <w:t xml:space="preserve">P: </w:t>
      </w:r>
      <w:r>
        <w:rPr>
          <w:b/>
          <w:bCs/>
        </w:rPr>
        <w:t xml:space="preserve">¿Por qué no balancearon las clases con SMOTE o undersampling?</w:t>
      </w:r>
    </w:p>
    <w:p>
      <w:pPr>
        <w:spacing w:after="100"/>
        <w:ind w:left="360"/>
      </w:pPr>
      <w:r>
        <w:rPr>
          <w:b/>
          <w:bCs/>
          <w:color w:val="2E7D4F"/>
        </w:rPr>
        <w:t xml:space="preserve">R: </w:t>
      </w:r>
      <w:r>
        <w:t xml:space="preserve">Porque la razón de desbalance final (1.17:1) está muy por debajo del umbral típico de preocupación (1.5:1–2:1), así que se consideró leve. En su lugar se usó 'class_weight' balanceado en el entrenamiento, una técnica más suave que no descarta ni genera datos sintéticos.</w:t>
      </w:r>
    </w:p>
    <w:p>
      <w:pPr>
        <w:spacing w:after="60" w:before="200"/>
      </w:pPr>
      <w:r>
        <w:rPr>
          <w:b/>
          <w:bCs/>
          <w:color w:val="1F3B57"/>
        </w:rPr>
        <w:t xml:space="preserve">P: </w:t>
      </w:r>
      <w:r>
        <w:rPr>
          <w:b/>
          <w:bCs/>
        </w:rPr>
        <w:t xml:space="preserve">¿Qué limitaciones tiene el dataset y cómo las manejaron?</w:t>
      </w:r>
    </w:p>
    <w:p>
      <w:pPr>
        <w:spacing w:after="100"/>
        <w:ind w:left="360"/>
      </w:pPr>
      <w:r>
        <w:rPr>
          <w:b/>
          <w:bCs/>
          <w:color w:val="2E7D4F"/>
        </w:rPr>
        <w:t xml:space="preserve">R: </w:t>
      </w:r>
      <w:r>
        <w:t xml:space="preserve">El riesgo principal es 'shortcut learning': el plástico siempre se fotografió sobre el mismo mantel a cuadros y el vidrio siempre sobre el mismo piso de madera, casi todas las fotos son cenitales, y la iluminación es homogénea de interior. El modelo podría aprender el fondo en vez del objeto.</w:t>
      </w:r>
    </w:p>
    <w:p>
      <w:pPr>
        <w:spacing w:after="100"/>
        <w:ind w:left="360"/>
      </w:pPr>
      <w:r>
        <w:rPr>
          <w:b/>
          <w:bCs/>
          <w:color w:val="2E7D4F"/>
        </w:rPr>
        <w:t xml:space="preserve">R: </w:t>
      </w:r>
      <w:r>
        <w:t xml:space="preserve">Se mitigó con data augmentation agresivo (rotación ±20°, flip horizontal, zoom, variación de contraste/brillo) y quedó documentado como trabajo futuro capturar fotos reales en el campus con la misma cámara/Raspberry Pi para reentrenar y cerrar la brecha de dominio (domain shift).</w:t>
      </w:r>
    </w:p>
    <w:p>
      <w:pPr>
        <w:pStyle w:val="Heading1"/>
        <w:spacing w:after="160" w:before="360"/>
      </w:pPr>
      <w:r>
        <w:t xml:space="preserve">3. Bloque: Diseño del modelo</w:t>
      </w:r>
    </w:p>
    <w:p>
      <w:pPr>
        <w:spacing w:after="60" w:before="200"/>
      </w:pPr>
      <w:r>
        <w:rPr>
          <w:b/>
          <w:bCs/>
          <w:color w:val="1F3B57"/>
        </w:rPr>
        <w:t xml:space="preserve">P: </w:t>
      </w:r>
      <w:r>
        <w:rPr>
          <w:b/>
          <w:bCs/>
        </w:rPr>
        <w:t xml:space="preserve">¿Por qué MobileNetV2 y no una CNN propia, YOLO o EfficientNet?</w:t>
      </w:r>
    </w:p>
    <w:p>
      <w:pPr>
        <w:spacing w:after="100"/>
        <w:ind w:left="360"/>
      </w:pPr>
      <w:r>
        <w:rPr>
          <w:b/>
          <w:bCs/>
          <w:color w:val="2E7D4F"/>
        </w:rPr>
        <w:t xml:space="preserve">R: </w:t>
      </w:r>
      <w:r>
        <w:t xml:space="preserve">CNN propia: requeriría muchos más datos y tiempo para igualar a un modelo preentrenado; 2670 imágenes es poco para entrenar desde cero.</w:t>
      </w:r>
    </w:p>
    <w:p>
      <w:pPr>
        <w:spacing w:after="100"/>
        <w:ind w:left="360"/>
      </w:pPr>
      <w:r>
        <w:rPr>
          <w:b/>
          <w:bCs/>
          <w:color w:val="2E7D4F"/>
        </w:rPr>
        <w:t xml:space="preserve">R: </w:t>
      </w:r>
      <w:r>
        <w:t xml:space="preserve">YOLO: está pensado para detección con múltiples objetos y bounding boxes; nuestro caso es clasificación de un solo objeto centrado, así que sería complejidad innecesaria.</w:t>
      </w:r>
    </w:p>
    <w:p>
      <w:pPr>
        <w:spacing w:after="100"/>
        <w:ind w:left="360"/>
      </w:pPr>
      <w:r>
        <w:rPr>
          <w:b/>
          <w:bCs/>
          <w:color w:val="2E7D4F"/>
        </w:rPr>
        <w:t xml:space="preserve">R: </w:t>
      </w:r>
      <w:r>
        <w:t xml:space="preserve">EfficientNet-B0: mejor precisión relativa en benchmarks generales, pero mayor costo computacional/memoria que MobileNetV2 para una ganancia marginal en un problema binario relativamente simple.</w:t>
      </w:r>
    </w:p>
    <w:p>
      <w:pPr>
        <w:spacing w:after="100"/>
        <w:ind w:left="360"/>
      </w:pPr>
      <w:r>
        <w:rPr>
          <w:b/>
          <w:bCs/>
          <w:color w:val="2E7D4F"/>
        </w:rPr>
        <w:t xml:space="preserve">R: </w:t>
      </w:r>
      <w:r>
        <w:t xml:space="preserve">MobileNetV2: usa convoluciones separables en profundidad (depthwise separable convolutions), reduce los parámetros a ~3.4 millones, corre bien en CPU sin GPU, y tiene soporte de primera clase en TensorFlow Lite para desplegar en la Raspberry Pi.</w:t>
      </w:r>
    </w:p>
    <w:p>
      <w:pPr>
        <w:spacing w:after="60" w:before="200"/>
      </w:pPr>
      <w:r>
        <w:rPr>
          <w:b/>
          <w:bCs/>
          <w:color w:val="1F3B57"/>
        </w:rPr>
        <w:t xml:space="preserve">P: </w:t>
      </w:r>
      <w:r>
        <w:rPr>
          <w:b/>
          <w:bCs/>
        </w:rPr>
        <w:t xml:space="preserve">¿Qué es transfer learning y por qué lo usaron?</w:t>
      </w:r>
    </w:p>
    <w:p>
      <w:pPr>
        <w:spacing w:after="100"/>
        <w:ind w:left="360"/>
      </w:pPr>
      <w:r>
        <w:rPr>
          <w:b/>
          <w:bCs/>
          <w:color w:val="2E7D4F"/>
        </w:rPr>
        <w:t xml:space="preserve">R: </w:t>
      </w:r>
      <w:r>
        <w:t xml:space="preserve">Es reutilizar los pesos de una red ya entrenada en un dataset masivo (ImageNet, millones de imágenes) en vez de entrenar desde cero. Esa base ya sabe detectar bordes, texturas y brillos, características clave para distinguir las propiedades ópticas del vidrio frente al plástico PET. Con solo 2670 imágenes propias, entrenar desde cero no habría sido viable.</w:t>
      </w:r>
    </w:p>
    <w:p>
      <w:pPr>
        <w:spacing w:after="60" w:before="200"/>
      </w:pPr>
      <w:r>
        <w:rPr>
          <w:b/>
          <w:bCs/>
          <w:color w:val="1F3B57"/>
        </w:rPr>
        <w:t xml:space="preserve">P: </w:t>
      </w:r>
      <w:r>
        <w:rPr>
          <w:b/>
          <w:bCs/>
        </w:rPr>
        <w:t xml:space="preserve">¿Cómo está compuesta exactamente la arquitectura final?</w:t>
      </w:r>
    </w:p>
    <w:p>
      <w:pPr>
        <w:spacing w:after="100"/>
        <w:ind w:left="360"/>
      </w:pPr>
      <w:r>
        <w:rPr>
          <w:b/>
          <w:bCs/>
          <w:color w:val="2E7D4F"/>
        </w:rPr>
        <w:t xml:space="preserve">R: </w:t>
      </w:r>
      <w:r>
        <w:t xml:space="preserve">Base MobileNetV2 preentrenada en ImageNet (~154 capas) + capas propias: GlobalAveragePooling2D + Dropout(0.2) + Dense(1, activación sigmoide). Es clasificación binaria (plástico=0 / vidrio=1), por eso una sola neurona de salida con sigmoide en vez de softmax con dos neuronas.</w:t>
      </w:r>
    </w:p>
    <w:p>
      <w:pPr>
        <w:spacing w:after="60" w:before="200"/>
      </w:pPr>
      <w:r>
        <w:rPr>
          <w:b/>
          <w:bCs/>
          <w:color w:val="1F3B57"/>
        </w:rPr>
        <w:t xml:space="preserve">P: </w:t>
      </w:r>
      <w:r>
        <w:rPr>
          <w:b/>
          <w:bCs/>
        </w:rPr>
        <w:t xml:space="preserve">¿Qué riesgos identificaron antes de entrenar?</w:t>
      </w:r>
    </w:p>
    <w:p>
      <w:pPr>
        <w:spacing w:after="100"/>
        <w:ind w:left="360"/>
      </w:pPr>
      <w:r>
        <w:rPr>
          <w:b/>
          <w:bCs/>
          <w:color w:val="2E7D4F"/>
        </w:rPr>
        <w:t xml:space="preserve">R: </w:t>
      </w:r>
      <w:r>
        <w:t xml:space="preserve">1) Similitud visual entre plástico y vidrio transparente (el reto central del proyecto). 2) El dataset tenía fondos y ángulos muy repetitivos (mantel a cuadros / piso de madera, toma cenital), lo que genera riesgo de que el modelo memorice el fondo en vez del material.</w:t>
      </w:r>
    </w:p>
    <w:p>
      <w:pPr>
        <w:pStyle w:val="Heading1"/>
        <w:spacing w:after="160" w:before="360"/>
      </w:pPr>
      <w:r>
        <w:t xml:space="preserve">4. Bloque: Entrenamiento — 'cuántas veces entrenó el modelo'</w:t>
      </w:r>
    </w:p>
    <w:p>
      <w:pPr>
        <w:spacing w:after="60" w:before="200"/>
      </w:pPr>
      <w:r>
        <w:rPr>
          <w:b/>
          <w:bCs/>
          <w:color w:val="1F3B57"/>
        </w:rPr>
        <w:t xml:space="preserve">P: </w:t>
      </w:r>
      <w:r>
        <w:rPr>
          <w:b/>
          <w:bCs/>
        </w:rPr>
        <w:t xml:space="preserve">¿Cuántas veces se entrenó el modelo / cuántas épocas tuvo?</w:t>
      </w:r>
    </w:p>
    <w:p>
      <w:pPr>
        <w:spacing w:after="100"/>
        <w:ind w:left="360"/>
      </w:pPr>
      <w:r>
        <w:rPr>
          <w:b/>
          <w:bCs/>
          <w:color w:val="2E7D4F"/>
        </w:rPr>
        <w:t xml:space="preserve">R: </w:t>
      </w:r>
      <w:r>
        <w:t xml:space="preserve">El entrenamiento se hizo en 2 fases. Se planificaron hasta 30 épocas con early stopping (paciencia=5 sobre val_loss), pero en la práctica el modelo convergió y se detuvo en 22 épocas efectivas: 12 en la Fase 1 y 10 en la Fase 2.</w:t>
      </w:r>
    </w:p>
    <w:p>
      <w:pPr>
        <w:spacing w:after="60" w:before="200"/>
      </w:pPr>
      <w:r>
        <w:rPr>
          <w:b/>
          <w:bCs/>
          <w:color w:val="1F3B57"/>
        </w:rPr>
        <w:t xml:space="preserve">P: </w:t>
      </w:r>
      <w:r>
        <w:rPr>
          <w:b/>
          <w:bCs/>
        </w:rPr>
        <w:t xml:space="preserve">¿Qué diferencia hay entre la Fase 1 y la Fase 2?</w:t>
      </w:r>
    </w:p>
    <w:p>
      <w:pPr>
        <w:spacing w:after="100"/>
        <w:ind w:left="360"/>
      </w:pPr>
      <w:r>
        <w:rPr>
          <w:b/>
          <w:bCs/>
          <w:color w:val="2E7D4F"/>
        </w:rPr>
        <w:t xml:space="preserve">R: </w:t>
      </w:r>
      <w:r>
        <w:t xml:space="preserve">Fase 1 (12 épocas, learning rate 1e-4): toda la base de MobileNetV2 queda congelada (no se actualizan sus pesos); solo se entrena el clasificador nuevo que se añadió encima (GlobalAveragePooling + Dropout + Dense).</w:t>
      </w:r>
    </w:p>
    <w:p>
      <w:pPr>
        <w:spacing w:after="100"/>
        <w:ind w:left="360"/>
      </w:pPr>
      <w:r>
        <w:rPr>
          <w:b/>
          <w:bCs/>
          <w:color w:val="2E7D4F"/>
        </w:rPr>
        <w:t xml:space="preserve">R: </w:t>
      </w:r>
      <w:r>
        <w:t xml:space="preserve">Fase 2 (10 épocas, learning rate más bajo 1e-5): se descongelan las últimas 30 capas de la base para hacer 'fine-tuning', es decir, especializar esos filtros al dominio específico de plástico/vidrio, con una tasa de aprendizaje baja para no destruir lo aprendido en ImageNet.</w:t>
      </w:r>
    </w:p>
    <w:p>
      <w:pPr>
        <w:spacing w:after="60" w:before="200"/>
      </w:pPr>
      <w:r>
        <w:rPr>
          <w:b/>
          <w:bCs/>
          <w:color w:val="1F3B57"/>
        </w:rPr>
        <w:t xml:space="preserve">P: </w:t>
      </w:r>
      <w:r>
        <w:rPr>
          <w:b/>
          <w:bCs/>
        </w:rPr>
        <w:t xml:space="preserve">¿Por qué bajar el learning rate en la Fase 2?</w:t>
      </w:r>
    </w:p>
    <w:p>
      <w:pPr>
        <w:spacing w:after="100"/>
        <w:ind w:left="360"/>
      </w:pPr>
      <w:r>
        <w:rPr>
          <w:b/>
          <w:bCs/>
          <w:color w:val="2E7D4F"/>
        </w:rPr>
        <w:t xml:space="preserve">R: </w:t>
      </w:r>
      <w:r>
        <w:t xml:space="preserve">Porque al descongelar capas preentrenadas, un learning rate alto podría destruir de golpe los pesos ya aprendidos en ImageNet ('catastrophic forgetting'). Un LR bajo (1e-5) permite un ajuste fino y gradual. Además se usó ReduceLROnPlateau (factor 0.5, paciencia=3) para bajarlo automáticamente si la validación se estancaba.</w:t>
      </w:r>
    </w:p>
    <w:p>
      <w:pPr>
        <w:spacing w:after="60" w:before="200"/>
      </w:pPr>
      <w:r>
        <w:rPr>
          <w:b/>
          <w:bCs/>
          <w:color w:val="1F3B57"/>
        </w:rPr>
        <w:t xml:space="preserve">P: </w:t>
      </w:r>
      <w:r>
        <w:rPr>
          <w:b/>
          <w:bCs/>
        </w:rPr>
        <w:t xml:space="preserve">¿Cuánto tardó en entrenar y en qué hardware?</w:t>
      </w:r>
    </w:p>
    <w:p>
      <w:pPr>
        <w:spacing w:after="100"/>
        <w:ind w:left="360"/>
      </w:pPr>
      <w:r>
        <w:rPr>
          <w:b/>
          <w:bCs/>
          <w:color w:val="2E7D4F"/>
        </w:rPr>
        <w:t xml:space="preserve">R: </w:t>
      </w:r>
      <w:r>
        <w:t xml:space="preserve">854 segundos en total (~14.2 minutos), corriendo en CPU (sin GPU dedicada): 455.9 s la Fase 1 y 398.1 s la Fase 2.</w:t>
      </w:r>
    </w:p>
    <w:p>
      <w:pPr>
        <w:spacing w:after="60" w:before="200"/>
      </w:pPr>
      <w:r>
        <w:rPr>
          <w:b/>
          <w:bCs/>
          <w:color w:val="1F3B57"/>
        </w:rPr>
        <w:t xml:space="preserve">P: </w:t>
      </w:r>
      <w:r>
        <w:rPr>
          <w:b/>
          <w:bCs/>
        </w:rPr>
        <w:t xml:space="preserve">¿Qué función de pérdida y optimizador usaron, y por qué?</w:t>
      </w:r>
    </w:p>
    <w:p>
      <w:pPr>
        <w:spacing w:after="100"/>
        <w:ind w:left="360"/>
      </w:pPr>
      <w:r>
        <w:rPr>
          <w:b/>
          <w:bCs/>
          <w:color w:val="2E7D4F"/>
        </w:rPr>
        <w:t xml:space="preserve">R: </w:t>
      </w:r>
      <w:r>
        <w:t xml:space="preserve">Binary Crossentropy, apropiada porque es clasificación binaria con salida sigmoide. Optimizador Adam, por su convergencia rápida y estable sin necesitar ajuste manual extenso de la tasa de aprendizaje. Batch size de 32, un balance estándar entre estabilidad del gradiente y uso de memoria.</w:t>
      </w:r>
    </w:p>
    <w:p>
      <w:pPr>
        <w:spacing w:after="60" w:before="200"/>
      </w:pPr>
      <w:r>
        <w:rPr>
          <w:b/>
          <w:bCs/>
          <w:color w:val="1F3B57"/>
        </w:rPr>
        <w:t xml:space="preserve">P: </w:t>
      </w:r>
      <w:r>
        <w:rPr>
          <w:b/>
          <w:bCs/>
        </w:rPr>
        <w:t xml:space="preserve">¿Qué es el 'class_weight' y para qué se usó aquí?</w:t>
      </w:r>
    </w:p>
    <w:p>
      <w:pPr>
        <w:spacing w:after="100"/>
        <w:ind w:left="360"/>
      </w:pPr>
      <w:r>
        <w:rPr>
          <w:b/>
          <w:bCs/>
          <w:color w:val="2E7D4F"/>
        </w:rPr>
        <w:t xml:space="preserve">R: </w:t>
      </w:r>
      <w:r>
        <w:t xml:space="preserve">Es un peso que se le da a cada clase durante el entrenamiento para que los errores en la clase minoritaria (vidrio, 1232 imágenes frente a 1438 de plástico) penalicen más la función de pérdida, compensando el desbalance leve sin necesidad de eliminar o duplicar imágenes.</w:t>
      </w:r>
    </w:p>
    <w:p>
      <w:pPr>
        <w:spacing w:after="60" w:before="200"/>
      </w:pPr>
      <w:r>
        <w:rPr>
          <w:b/>
          <w:bCs/>
          <w:color w:val="1F3B57"/>
        </w:rPr>
        <w:t xml:space="preserve">P: </w:t>
      </w:r>
      <w:r>
        <w:rPr>
          <w:b/>
          <w:bCs/>
        </w:rPr>
        <w:t xml:space="preserve">¿Qué transformaciones de data augmentation aplicaron y por qué?</w:t>
      </w:r>
    </w:p>
    <w:p>
      <w:pPr>
        <w:spacing w:after="100"/>
        <w:ind w:left="360"/>
      </w:pPr>
      <w:r>
        <w:rPr>
          <w:b/>
          <w:bCs/>
          <w:color w:val="2E7D4F"/>
        </w:rPr>
        <w:t xml:space="preserve">R: </w:t>
      </w:r>
      <w:r>
        <w:t xml:space="preserve">Rotación aleatoria (±20°), flip horizontal, zoom aleatorio (±15%) y variación de contraste/brillo (±20%), aplicadas solo al conjunto de entrenamiento y en tiempo de carga (no se guardan copias en disco). El objetivo es simular la variabilidad de fondo, ángulo e iluminación que el dataset original no tiene, para reducir el riesgo de 'shortcut learning'.</w:t>
      </w:r>
    </w:p>
    <w:p>
      <w:pPr>
        <w:spacing w:after="60" w:before="200"/>
      </w:pPr>
      <w:r>
        <w:rPr>
          <w:b/>
          <w:bCs/>
          <w:color w:val="1F3B57"/>
        </w:rPr>
        <w:t xml:space="preserve">P: </w:t>
      </w:r>
      <w:r>
        <w:rPr>
          <w:b/>
          <w:bCs/>
        </w:rPr>
        <w:t xml:space="preserve">¿Qué normalización se aplicó a las imágenes?</w:t>
      </w:r>
    </w:p>
    <w:p>
      <w:pPr>
        <w:spacing w:after="100"/>
        <w:ind w:left="360"/>
      </w:pPr>
      <w:r>
        <w:rPr>
          <w:b/>
          <w:bCs/>
          <w:color w:val="2E7D4F"/>
        </w:rPr>
        <w:t xml:space="preserve">R: </w:t>
      </w:r>
      <w:r>
        <w:t xml:space="preserve">Redimensionamiento a 224×224 px (tamaño de entrada esperado por MobileNetV2) y la función preprocess_input propia de MobileNetV2, que reescala los valores de píxel al rango [-1, 1].</w:t>
      </w:r>
    </w:p>
    <w:p>
      <w:pPr>
        <w:pStyle w:val="Heading1"/>
        <w:spacing w:after="160" w:before="360"/>
      </w:pPr>
      <w:r>
        <w:t xml:space="preserve">5. Bloque: Resultados y evaluación — 'qué votó el modelo'</w:t>
      </w:r>
    </w:p>
    <w:p>
      <w:pPr>
        <w:spacing w:after="60" w:before="200"/>
      </w:pPr>
      <w:r>
        <w:rPr>
          <w:b/>
          <w:bCs/>
          <w:color w:val="1F3B57"/>
        </w:rPr>
        <w:t xml:space="preserve">P: </w:t>
      </w:r>
      <w:r>
        <w:rPr>
          <w:b/>
          <w:bCs/>
        </w:rPr>
        <w:t xml:space="preserve">¿Qué accuracy y F1 obtuvieron y sobre qué conjunto?</w:t>
      </w:r>
    </w:p>
    <w:p>
      <w:pPr>
        <w:spacing w:after="100"/>
        <w:ind w:left="360"/>
      </w:pPr>
      <w:r>
        <w:rPr>
          <w:b/>
          <w:bCs/>
          <w:color w:val="2E7D4F"/>
        </w:rPr>
        <w:t xml:space="preserve">R: </w:t>
      </w:r>
      <w:r>
        <w:t xml:space="preserve">Sobre el conjunto de prueba (403 imágenes, completamente aislado durante todo el entrenamiento): Accuracy global 97.02%, F1-score ponderado 0.9701 (F1 plástico 0.9731, F1 vidrio 0.9667).</w:t>
      </w:r>
    </w:p>
    <w:p>
      <w:pPr>
        <w:spacing w:after="100"/>
        <w:ind w:left="360"/>
      </w:pPr>
      <w:r>
        <w:rPr>
          <w:b/>
          <w:bCs/>
          <w:color w:val="2E7D4F"/>
        </w:rPr>
        <w:t xml:space="preserve">R: </w:t>
      </w:r>
      <w:r>
        <w:t xml:space="preserve">Precision ponderada 0.9718 (plástico 0.9476, vidrio 1.0) y Recall ponderado 0.9702 (plástico 1.0, vidrio 0.9355).</w:t>
      </w:r>
    </w:p>
    <w:p>
      <w:pPr>
        <w:spacing w:after="60" w:before="200"/>
      </w:pPr>
      <w:r>
        <w:rPr>
          <w:b/>
          <w:bCs/>
          <w:color w:val="1F3B57"/>
        </w:rPr>
        <w:t xml:space="preserve">P: </w:t>
      </w:r>
      <w:r>
        <w:rPr>
          <w:b/>
          <w:bCs/>
        </w:rPr>
        <w:t xml:space="preserve">Expliquen la matriz de confusión: ¿qué votó el modelo en cada caso?</w:t>
      </w:r>
    </w:p>
    <w:p>
      <w:pPr>
        <w:spacing w:after="100"/>
        <w:ind w:left="360"/>
      </w:pPr>
      <w:r>
        <w:rPr>
          <w:b/>
          <w:bCs/>
          <w:color w:val="2E7D4F"/>
        </w:rPr>
        <w:t xml:space="preserve">R: </w:t>
      </w:r>
      <w:r>
        <w:t xml:space="preserve">De 217 imágenes reales de plástico, el modelo votó 'plástico' en las 217 (100% de acierto, 0 errores). De 186 imágenes reales de vidrio, el modelo votó 'vidrio' en 174 y 'plástico' en 12 (todos los errores del sistema están en esta dirección: vidrio confundido con plástico, nunca al revés).</w:t>
      </w:r>
    </w:p>
    <w:p>
      <w:pPr>
        <w:spacing w:after="60" w:before="200"/>
      </w:pPr>
      <w:r>
        <w:rPr>
          <w:b/>
          <w:bCs/>
          <w:color w:val="1F3B57"/>
        </w:rPr>
        <w:t xml:space="preserve">P: </w:t>
      </w:r>
      <w:r>
        <w:rPr>
          <w:b/>
          <w:bCs/>
        </w:rPr>
        <w:t xml:space="preserve">¿Por qué el modelo nunca confunde plástico con vidrio, pero sí vidrio con plástico?</w:t>
      </w:r>
    </w:p>
    <w:p>
      <w:pPr>
        <w:spacing w:after="100"/>
        <w:ind w:left="360"/>
      </w:pPr>
      <w:r>
        <w:rPr>
          <w:b/>
          <w:bCs/>
          <w:color w:val="2E7D4F"/>
        </w:rPr>
        <w:t xml:space="preserve">R: </w:t>
      </w:r>
      <w:r>
        <w:t xml:space="preserve">Es una asimetría esperada dado el reto identificado desde el diseño: la ambigüedad óptica es mayor en un sentido porque el vidrio transparente/claro puede lucir muy similar al PET transparente bajo ciertas condiciones de brillo y encuadre, mientras que las botellas de plástico del dataset tienen rasgos más distintivos (tapa, forma, reflejos) que el modelo aprendió con más seguridad.</w:t>
      </w:r>
    </w:p>
    <w:p>
      <w:pPr>
        <w:spacing w:after="60" w:before="200"/>
      </w:pPr>
      <w:r>
        <w:rPr>
          <w:b/>
          <w:bCs/>
          <w:color w:val="1F3B57"/>
        </w:rPr>
        <w:t xml:space="preserve">P: </w:t>
      </w:r>
      <w:r>
        <w:rPr>
          <w:b/>
          <w:bCs/>
        </w:rPr>
        <w:t xml:space="preserve">¿Qué imágenes generan más confusión y por qué?</w:t>
      </w:r>
    </w:p>
    <w:p>
      <w:pPr>
        <w:spacing w:after="100"/>
        <w:ind w:left="360"/>
      </w:pPr>
      <w:r>
        <w:rPr>
          <w:b/>
          <w:bCs/>
          <w:color w:val="2E7D4F"/>
        </w:rPr>
        <w:t xml:space="preserve">R: </w:t>
      </w:r>
      <w:r>
        <w:t xml:space="preserve">Principalmente imágenes con transparencia ambigua (PET transparente vs. vidrio claro) y encuadres o fondos que se apartan del patrón dominante del dataset (mantel a cuadros para plástico, piso de madera para vidrio). Es consistente con los dos riesgos anticipados desde la fase de diseño: la ambigüedad óptica es un límite físico del problema, y el fondo repetitivo puede haber generado asociaciones parciales entre fondo y clase.</w:t>
      </w:r>
    </w:p>
    <w:p>
      <w:pPr>
        <w:spacing w:after="60" w:before="200"/>
      </w:pPr>
      <w:r>
        <w:rPr>
          <w:b/>
          <w:bCs/>
          <w:color w:val="1F3B57"/>
        </w:rPr>
        <w:t xml:space="preserve">P: </w:t>
      </w:r>
      <w:r>
        <w:rPr>
          <w:b/>
          <w:bCs/>
        </w:rPr>
        <w:t xml:space="preserve">¿Hicieron alguna prueba adicional aparte de la matriz de confusión?</w:t>
      </w:r>
    </w:p>
    <w:p>
      <w:pPr>
        <w:spacing w:after="100"/>
        <w:ind w:left="360"/>
      </w:pPr>
      <w:r>
        <w:rPr>
          <w:b/>
          <w:bCs/>
          <w:color w:val="2E7D4F"/>
        </w:rPr>
        <w:t xml:space="preserve">R: </w:t>
      </w:r>
      <w:r>
        <w:t xml:space="preserve">Sí, se evaluaron 24 imágenes nuevas del conjunto de prueba con 24 aciertos de 24 (100%), documentadas con su nivel de confianza individual en el archivo pruebas_modelo.csv (confianzas entre ~91% y 100%).</w:t>
      </w:r>
    </w:p>
    <w:p>
      <w:pPr>
        <w:spacing w:after="60" w:before="200"/>
      </w:pPr>
      <w:r>
        <w:rPr>
          <w:b/>
          <w:bCs/>
          <w:color w:val="1F3B57"/>
        </w:rPr>
        <w:t xml:space="preserve">P: </w:t>
      </w:r>
      <w:r>
        <w:rPr>
          <w:b/>
          <w:bCs/>
        </w:rPr>
        <w:t xml:space="preserve">¿Cuánto tarda el modelo en clasificar una imagen?</w:t>
      </w:r>
    </w:p>
    <w:p>
      <w:pPr>
        <w:spacing w:after="100"/>
        <w:ind w:left="360"/>
      </w:pPr>
      <w:r>
        <w:rPr>
          <w:b/>
          <w:bCs/>
          <w:color w:val="2E7D4F"/>
        </w:rPr>
        <w:t xml:space="preserve">R: </w:t>
      </w:r>
      <w:r>
        <w:t xml:space="preserve">139.7 milisegundos en promedio por imagen, medido en CPU, lo que es compatible con una clasificación en tiempo real dentro del flujo de la máquina expendedora inversa.</w:t>
      </w:r>
    </w:p>
    <w:p>
      <w:pPr>
        <w:spacing w:after="60" w:before="200"/>
      </w:pPr>
      <w:r>
        <w:rPr>
          <w:b/>
          <w:bCs/>
          <w:color w:val="1F3B57"/>
        </w:rPr>
        <w:t xml:space="preserve">P: </w:t>
      </w:r>
      <w:r>
        <w:rPr>
          <w:b/>
          <w:bCs/>
        </w:rPr>
        <w:t xml:space="preserve">¿Cómo se exportó el modelo final para la Raspberry Pi?</w:t>
      </w:r>
    </w:p>
    <w:p>
      <w:pPr>
        <w:spacing w:after="100"/>
        <w:ind w:left="360"/>
      </w:pPr>
      <w:r>
        <w:rPr>
          <w:b/>
          <w:bCs/>
          <w:color w:val="2E7D4F"/>
        </w:rPr>
        <w:t xml:space="preserve">R: </w:t>
      </w:r>
      <w:r>
        <w:t xml:space="preserve">Primero se guardó en formato .keras (~20.88 MB) para seguir depurando en PC. Luego se convirtió y cuantizó a TensorFlow Lite (.tflite), reduciendo el tamaño a 2.41 MB, optimizando memoria RAM y velocidad de inferencia sin sacrificar precisión de forma relevante.</w:t>
      </w:r>
    </w:p>
    <w:p>
      <w:pPr>
        <w:spacing w:after="60" w:before="200"/>
      </w:pPr>
      <w:r>
        <w:rPr>
          <w:b/>
          <w:bCs/>
          <w:color w:val="1F3B57"/>
        </w:rPr>
        <w:t xml:space="preserve">P: </w:t>
      </w:r>
      <w:r>
        <w:rPr>
          <w:b/>
          <w:bCs/>
        </w:rPr>
        <w:t xml:space="preserve">¿El modelo cumplió el objetivo planteado?</w:t>
      </w:r>
    </w:p>
    <w:p>
      <w:pPr>
        <w:spacing w:after="100"/>
        <w:ind w:left="360"/>
      </w:pPr>
      <w:r>
        <w:rPr>
          <w:b/>
          <w:bCs/>
          <w:color w:val="2E7D4F"/>
        </w:rPr>
        <w:t xml:space="preserve">R: </w:t>
      </w:r>
      <w:r>
        <w:t xml:space="preserve">Sí. El objetivo de diseño era una precisión de validación/prueba superior al 90%; el resultado real fue 97.02% de accuracy en el conjunto de prueba, superando ampliamente la meta.</w:t>
      </w:r>
    </w:p>
    <w:p>
      <w:pPr>
        <w:pStyle w:val="Heading1"/>
        <w:spacing w:after="160" w:before="360"/>
      </w:pPr>
      <w:r>
        <w:t xml:space="preserve">6. Bloque: Sistema experto y decisión final</w:t>
      </w:r>
    </w:p>
    <w:p>
      <w:pPr>
        <w:spacing w:after="60" w:before="200"/>
      </w:pPr>
      <w:r>
        <w:rPr>
          <w:b/>
          <w:bCs/>
          <w:color w:val="1F3B57"/>
        </w:rPr>
        <w:t xml:space="preserve">P: </w:t>
      </w:r>
      <w:r>
        <w:rPr>
          <w:b/>
          <w:bCs/>
        </w:rPr>
        <w:t xml:space="preserve">¿Cómo funcionan exactamente las reglas del sistema experto?</w:t>
      </w:r>
    </w:p>
    <w:p>
      <w:pPr>
        <w:spacing w:after="100"/>
        <w:ind w:left="360"/>
      </w:pPr>
      <w:r>
        <w:rPr>
          <w:b/>
          <w:bCs/>
          <w:color w:val="2E7D4F"/>
        </w:rPr>
        <w:t xml:space="preserve">R: </w:t>
      </w:r>
      <w:r>
        <w:t xml:space="preserve">Si la probabilidad de confianza es ≥85%: se acepta la clase (plástico o vidrio) y se clasifica mecánicamente. Si está entre 60% y 84%: se pide al usuario volver a acomodar el residuo para una nueva captura. Si es &lt;60%: se marca como 'desconocido' en vez de forzar una clasificación poco confiable.</w:t>
      </w:r>
    </w:p>
    <w:p>
      <w:pPr>
        <w:spacing w:after="60" w:before="200"/>
      </w:pPr>
      <w:r>
        <w:rPr>
          <w:b/>
          <w:bCs/>
          <w:color w:val="1F3B57"/>
        </w:rPr>
        <w:t xml:space="preserve">P: </w:t>
      </w:r>
      <w:r>
        <w:rPr>
          <w:b/>
          <w:bCs/>
        </w:rPr>
        <w:t xml:space="preserve">¿Por qué separar el modelo de IA del sistema experto en vez de que la red decida directamente?</w:t>
      </w:r>
    </w:p>
    <w:p>
      <w:pPr>
        <w:spacing w:after="100"/>
        <w:ind w:left="360"/>
      </w:pPr>
      <w:r>
        <w:rPr>
          <w:b/>
          <w:bCs/>
          <w:color w:val="2E7D4F"/>
        </w:rPr>
        <w:t xml:space="preserve">R: </w:t>
      </w:r>
      <w:r>
        <w:t xml:space="preserve">Porque permite ajustar los umbrales de aceptación (por ejemplo subir el umbral de 85% a 90% si se detectan más errores en producción) sin tener que reentrenar el modelo, y da trazabilidad explícita a los casos límite de confianza media o baja en vez de forzar siempre una respuesta binaria.</w:t>
      </w:r>
    </w:p>
    <w:p>
      <w:pPr>
        <w:spacing w:after="60" w:before="200"/>
      </w:pPr>
      <w:r>
        <w:rPr>
          <w:b/>
          <w:bCs/>
          <w:color w:val="1F3B57"/>
        </w:rPr>
        <w:t xml:space="preserve">P: </w:t>
      </w:r>
      <w:r>
        <w:rPr>
          <w:b/>
          <w:bCs/>
        </w:rPr>
        <w:t xml:space="preserve">¿Qué pasa con los datos después de que el sistema experto valida la predicción?</w:t>
      </w:r>
    </w:p>
    <w:p>
      <w:pPr>
        <w:spacing w:after="100"/>
        <w:ind w:left="360"/>
      </w:pPr>
      <w:r>
        <w:rPr>
          <w:b/>
          <w:bCs/>
          <w:color w:val="2E7D4F"/>
        </w:rPr>
        <w:t xml:space="preserve">R: </w:t>
      </w:r>
      <w:r>
        <w:t xml:space="preserve">La transacción se envía a la plataforma web RePoints (dashboard construido con Node.js, React y Prisma ORM), que registra el resultado, lo hace trazable, y asigna/persiste los puntos de reciclaje en la cuenta del usuario de forma inmediata.</w:t>
      </w:r>
    </w:p>
    <w:p>
      <w:pPr>
        <w:pStyle w:val="Heading1"/>
        <w:spacing w:after="160" w:before="360"/>
      </w:pPr>
      <w:r>
        <w:t xml:space="preserve">7. Preguntas 'trampa' y límites del proyecto</w:t>
      </w:r>
    </w:p>
    <w:p>
      <w:pPr>
        <w:spacing w:after="60" w:before="200"/>
      </w:pPr>
      <w:r>
        <w:rPr>
          <w:b/>
          <w:bCs/>
          <w:color w:val="1F3B57"/>
        </w:rPr>
        <w:t xml:space="preserve">P: </w:t>
      </w:r>
      <w:r>
        <w:rPr>
          <w:b/>
          <w:bCs/>
        </w:rPr>
        <w:t xml:space="preserve">¿El modelo fue probado con fotos reales tomadas en la universidad, con la cámara y la Raspberry Pi definitivas?</w:t>
      </w:r>
    </w:p>
    <w:p>
      <w:pPr>
        <w:spacing w:after="100"/>
        <w:ind w:left="360"/>
      </w:pPr>
      <w:r>
        <w:rPr>
          <w:b/>
          <w:bCs/>
          <w:color w:val="2E7D4F"/>
        </w:rPr>
        <w:t xml:space="preserve">R: </w:t>
      </w:r>
      <w:r>
        <w:t xml:space="preserve">No todavía. Todo el entrenamiento y evaluación se hizo sobre el dataset de Kaggle (fotos domésticas, fondo controlado). Es una limitación reconocida explícitamente: el trabajo futuro es capturar imágenes reales en el campus con la Reverse Vending Machine instalada, para reentrenar y cerrar el 'domain shift' antes de producción definitiva.</w:t>
      </w:r>
    </w:p>
    <w:p>
      <w:pPr>
        <w:spacing w:after="60" w:before="200"/>
      </w:pPr>
      <w:r>
        <w:rPr>
          <w:b/>
          <w:bCs/>
          <w:color w:val="1F3B57"/>
        </w:rPr>
        <w:t xml:space="preserve">P: </w:t>
      </w:r>
      <w:r>
        <w:rPr>
          <w:b/>
          <w:bCs/>
        </w:rPr>
        <w:t xml:space="preserve">¿Qué pasaría si en producción aparece un objeto que no es ni plástico ni vidrio (por ejemplo metal o papel)?</w:t>
      </w:r>
    </w:p>
    <w:p>
      <w:pPr>
        <w:spacing w:after="100"/>
        <w:ind w:left="360"/>
      </w:pPr>
      <w:r>
        <w:rPr>
          <w:b/>
          <w:bCs/>
          <w:color w:val="2E7D4F"/>
        </w:rPr>
        <w:t xml:space="preserve">R: </w:t>
      </w:r>
      <w:r>
        <w:t xml:space="preserve">Está fuera del alcance definido del proyecto: el sistema solo clasifica plástico vs. vidrio. Un objeto muy distinto probablemente caería en confianza baja (&lt;60%) y el sistema experto lo marcaría como 'desconocido', pero no hay una clase dedicada para otros materiales en esta versión.</w:t>
      </w:r>
    </w:p>
    <w:p>
      <w:pPr>
        <w:spacing w:after="60" w:before="200"/>
      </w:pPr>
      <w:r>
        <w:rPr>
          <w:b/>
          <w:bCs/>
          <w:color w:val="1F3B57"/>
        </w:rPr>
        <w:t xml:space="preserve">P: </w:t>
      </w:r>
      <w:r>
        <w:rPr>
          <w:b/>
          <w:bCs/>
        </w:rPr>
        <w:t xml:space="preserve">¿No es un poco pequeño el dataset de prueba (403 imágenes) para confiar en el 97% de accuracy?</w:t>
      </w:r>
    </w:p>
    <w:p>
      <w:pPr>
        <w:spacing w:after="100"/>
        <w:ind w:left="360"/>
      </w:pPr>
      <w:r>
        <w:rPr>
          <w:b/>
          <w:bCs/>
          <w:color w:val="2E7D4F"/>
        </w:rPr>
        <w:t xml:space="preserve">R: </w:t>
      </w:r>
      <w:r>
        <w:t xml:space="preserve">Es un tamaño razonable para un MVP académico con transfer learning, y el conjunto de prueba estuvo completamente aislado durante todo el entrenamiento (nunca se usó para ajustar hiperparámetros). Aun así, se reconoce como limitación que el test set comparte el mismo sesgo de fondo/ángulo que el resto del dataset, por lo que el número real en producción con fondos nuevos podría ser algo menor; de ahí la importancia de la validación futura con fotos del mundo real.</w:t>
      </w:r>
    </w:p>
    <w:p>
      <w:pPr>
        <w:spacing w:after="60" w:before="200"/>
      </w:pPr>
      <w:r>
        <w:rPr>
          <w:b/>
          <w:bCs/>
          <w:color w:val="1F3B57"/>
        </w:rPr>
        <w:t xml:space="preserve">P: </w:t>
      </w:r>
      <w:r>
        <w:rPr>
          <w:b/>
          <w:bCs/>
        </w:rPr>
        <w:t xml:space="preserve">¿Por qué eligieron una arquitectura binaria (plástico/vidrio) y no multiclase con más materiales desde el inicio?</w:t>
      </w:r>
    </w:p>
    <w:p>
      <w:pPr>
        <w:spacing w:after="100"/>
        <w:ind w:left="360"/>
      </w:pPr>
      <w:r>
        <w:rPr>
          <w:b/>
          <w:bCs/>
          <w:color w:val="2E7D4F"/>
        </w:rPr>
        <w:t xml:space="preserve">R: </w:t>
      </w:r>
      <w:r>
        <w:t xml:space="preserve">Fue una decisión de alcance del proyecto integrador: el reto central es distinguir dos materiales visualmente similares (transparencia), no cubrir todo tipo de residuo. Ampliarlo a más clases queda como extensión futura.</w:t>
      </w:r>
    </w:p>
    <w:p>
      <w:pPr>
        <w:spacing w:after="60" w:before="200"/>
      </w:pPr>
      <w:r>
        <w:rPr>
          <w:b/>
          <w:bCs/>
          <w:color w:val="1F3B57"/>
        </w:rPr>
        <w:t xml:space="preserve">P: </w:t>
      </w:r>
      <w:r>
        <w:rPr>
          <w:b/>
          <w:bCs/>
        </w:rPr>
        <w:t xml:space="preserve">¿Cómo garantizan que el split de datos es reproducible?</w:t>
      </w:r>
    </w:p>
    <w:p>
      <w:pPr>
        <w:spacing w:after="100"/>
        <w:ind w:left="360"/>
      </w:pPr>
      <w:r>
        <w:rPr>
          <w:b/>
          <w:bCs/>
          <w:color w:val="2E7D4F"/>
        </w:rPr>
        <w:t xml:space="preserve">R: </w:t>
      </w:r>
      <w:r>
        <w:t xml:space="preserve">Usando una semilla fija (random_state=42) en la división estratificada 70/15/15, de modo que cualquiera que corra el mismo notebook con el mismo dataset obtiene exactamente la misma partición de entrenamiento, validación y prueba.</w:t>
      </w:r>
    </w:p>
    <w:p>
      <w:pPr>
        <w:pStyle w:val="Heading1"/>
        <w:spacing w:after="160" w:before="360"/>
      </w:pPr>
      <w:r>
        <w:t xml:space="preserve">8. Mapa de código: qué parte hace qué</w:t>
      </w:r>
    </w:p>
    <w:p>
      <w:pPr>
        <w:spacing w:after="140"/>
      </w:pPr>
      <w:r>
        <w:rPr>
          <w:i/>
          <w:iCs/>
          <w:color w:val="666666"/>
          <w:sz w:val="20"/>
          <w:szCs w:val="20"/>
        </w:rPr>
        <w:t xml:space="preserve">Esta sección organiza el pipeline documentado en los tres informes en el orden en que debería aparecer en el/los notebook(s) del proyecto (por ejemplo Implementacion_Evaluacion_Modelo_RePoints.ipynb). Úsenla como guion para mostrar código en vivo: cada fila indica qué bloque de celdas buscar y qué debe mostrar en pantalla al abrirlo.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B57" w:val="clear"/>
            <w:tcMar>
              <w:top w:type="dxa" w:w="80"/>
              <w:left w:type="dxa" w:w="100"/>
              <w:bottom w:type="dxa" w:w="80"/>
              <w:right w:type="dxa" w:w="100"/>
            </w:tcMar>
          </w:tcPr>
          <w:p>
            <w:r>
              <w:rPr>
                <w:b/>
                <w:bCs/>
                <w:color w:val="FFFFFF"/>
                <w:sz w:val="20"/>
                <w:szCs w:val="20"/>
              </w:rPr>
              <w:t xml:space="preserve">Etapa del pipeline</w:t>
            </w:r>
          </w:p>
        </w:tc>
        <w:tc>
          <w:tcPr>
            <w:tcW w:type="dxa" w:w="6500"/>
            <w:shd w:fill="1F3B57" w:val="clear"/>
            <w:tcMar>
              <w:top w:type="dxa" w:w="80"/>
              <w:left w:type="dxa" w:w="100"/>
              <w:bottom w:type="dxa" w:w="80"/>
              <w:right w:type="dxa" w:w="100"/>
            </w:tcMar>
          </w:tcPr>
          <w:p>
            <w:r>
              <w:rPr>
                <w:b/>
                <w:bCs/>
                <w:color w:val="FFFFFF"/>
                <w:sz w:val="20"/>
                <w:szCs w:val="20"/>
              </w:rPr>
              <w:t xml:space="preserve">Qué hace / qué mostrar en el código</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1. Imports y configuración</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Carga de librerías (TensorFlow/Keras, scikit-learn, Pillow, matplotlib, hashlib/imagehash, pillow-heif). Fijar random_state=42 para reproducibilidad.</w:t>
            </w:r>
          </w:p>
        </w:tc>
      </w:tr>
      <w:tr>
        <w:tc>
          <w:tcPr>
            <w:tcW w:type="dxa" w:w="3000"/>
            <w:tcMar>
              <w:top w:type="dxa" w:w="80"/>
              <w:left w:type="dxa" w:w="100"/>
              <w:bottom w:type="dxa" w:w="80"/>
              <w:right w:type="dxa" w:w="100"/>
            </w:tcMar>
          </w:tcPr>
          <w:p>
            <w:r>
              <w:rPr>
                <w:b w:val="false"/>
                <w:bCs w:val="false"/>
                <w:color w:val="000000"/>
                <w:sz w:val="20"/>
                <w:szCs w:val="20"/>
              </w:rPr>
              <w:t xml:space="preserve">2. Carga del dataset crudo</w:t>
            </w:r>
          </w:p>
        </w:tc>
        <w:tc>
          <w:tcPr>
            <w:tcW w:type="dxa" w:w="6500"/>
            <w:tcMar>
              <w:top w:type="dxa" w:w="80"/>
              <w:left w:type="dxa" w:w="100"/>
              <w:bottom w:type="dxa" w:w="80"/>
              <w:right w:type="dxa" w:w="100"/>
            </w:tcMar>
          </w:tcPr>
          <w:p>
            <w:r>
              <w:rPr>
                <w:b w:val="false"/>
                <w:bCs w:val="false"/>
                <w:color w:val="000000"/>
                <w:sz w:val="20"/>
                <w:szCs w:val="20"/>
              </w:rPr>
              <w:t xml:space="preserve">Lectura de las carpetas Glass y PET del dataset de Kaggle 'Drinking Waste Classification'; conteo inicial (1508 plástico / 1232 vidrio).</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3. Detección de duplicados</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Cálculo de hash MD5 y pHash por imagen; agrupación de duplicados; listado de los 70 grupos encontrados en la clase plástico.</w:t>
            </w:r>
          </w:p>
        </w:tc>
      </w:tr>
      <w:tr>
        <w:tc>
          <w:tcPr>
            <w:tcW w:type="dxa" w:w="3000"/>
            <w:tcMar>
              <w:top w:type="dxa" w:w="80"/>
              <w:left w:type="dxa" w:w="100"/>
              <w:bottom w:type="dxa" w:w="80"/>
              <w:right w:type="dxa" w:w="100"/>
            </w:tcMar>
          </w:tcPr>
          <w:p>
            <w:r>
              <w:rPr>
                <w:b w:val="false"/>
                <w:bCs w:val="false"/>
                <w:color w:val="000000"/>
                <w:sz w:val="20"/>
                <w:szCs w:val="20"/>
              </w:rPr>
              <w:t xml:space="preserve">4. Limpieza</w:t>
            </w:r>
          </w:p>
        </w:tc>
        <w:tc>
          <w:tcPr>
            <w:tcW w:type="dxa" w:w="6500"/>
            <w:tcMar>
              <w:top w:type="dxa" w:w="80"/>
              <w:left w:type="dxa" w:w="100"/>
              <w:bottom w:type="dxa" w:w="80"/>
              <w:right w:type="dxa" w:w="100"/>
            </w:tcMar>
          </w:tcPr>
          <w:p>
            <w:r>
              <w:rPr>
                <w:b w:val="false"/>
                <w:bCs w:val="false"/>
                <w:color w:val="000000"/>
                <w:sz w:val="20"/>
                <w:szCs w:val="20"/>
              </w:rPr>
              <w:t xml:space="preserve">Eliminación de las 70 imágenes redundantes; conversión de las 8 imágenes HEIC a JPG con pillow-heif; verificación de que no quedan archivos corruptos.</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5. EDA (análisis exploratorio)</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Cálculo de nitidez (varianza del Laplaciano), brillo medio y % de sobreexposición por clase; generación de las figuras de distribución de clases y muestras representativas.</w:t>
            </w:r>
          </w:p>
        </w:tc>
      </w:tr>
      <w:tr>
        <w:tc>
          <w:tcPr>
            <w:tcW w:type="dxa" w:w="3000"/>
            <w:tcMar>
              <w:top w:type="dxa" w:w="80"/>
              <w:left w:type="dxa" w:w="100"/>
              <w:bottom w:type="dxa" w:w="80"/>
              <w:right w:type="dxa" w:w="100"/>
            </w:tcMar>
          </w:tcPr>
          <w:p>
            <w:r>
              <w:rPr>
                <w:b w:val="false"/>
                <w:bCs w:val="false"/>
                <w:color w:val="000000"/>
                <w:sz w:val="20"/>
                <w:szCs w:val="20"/>
              </w:rPr>
              <w:t xml:space="preserve">6. División estratificada</w:t>
            </w:r>
          </w:p>
        </w:tc>
        <w:tc>
          <w:tcPr>
            <w:tcW w:type="dxa" w:w="6500"/>
            <w:tcMar>
              <w:top w:type="dxa" w:w="80"/>
              <w:left w:type="dxa" w:w="100"/>
              <w:bottom w:type="dxa" w:w="80"/>
              <w:right w:type="dxa" w:w="100"/>
            </w:tcMar>
          </w:tcPr>
          <w:p>
            <w:r>
              <w:rPr>
                <w:b w:val="false"/>
                <w:bCs w:val="false"/>
                <w:color w:val="000000"/>
                <w:sz w:val="20"/>
                <w:szCs w:val="20"/>
              </w:rPr>
              <w:t xml:space="preserve">train_test_split (o equivalente) en 70/15/15 con stratify por clase y random_state=42; verificación de conteos por conjunto (1868/399/403).</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7. Pipeline de datos (tf.data / ImageDataGenerator)</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Redimensionamiento a 224×224, preprocess_input de MobileNetV2 ([-1,1]), y las capas de data augmentation (rotación, flip, zoom, contraste) aplicadas solo al set de entrenamiento.</w:t>
            </w:r>
          </w:p>
        </w:tc>
      </w:tr>
      <w:tr>
        <w:tc>
          <w:tcPr>
            <w:tcW w:type="dxa" w:w="3000"/>
            <w:tcMar>
              <w:top w:type="dxa" w:w="80"/>
              <w:left w:type="dxa" w:w="100"/>
              <w:bottom w:type="dxa" w:w="80"/>
              <w:right w:type="dxa" w:w="100"/>
            </w:tcMar>
          </w:tcPr>
          <w:p>
            <w:r>
              <w:rPr>
                <w:b w:val="false"/>
                <w:bCs w:val="false"/>
                <w:color w:val="000000"/>
                <w:sz w:val="20"/>
                <w:szCs w:val="20"/>
              </w:rPr>
              <w:t xml:space="preserve">8. Definición del modelo</w:t>
            </w:r>
          </w:p>
        </w:tc>
        <w:tc>
          <w:tcPr>
            <w:tcW w:type="dxa" w:w="6500"/>
            <w:tcMar>
              <w:top w:type="dxa" w:w="80"/>
              <w:left w:type="dxa" w:w="100"/>
              <w:bottom w:type="dxa" w:w="80"/>
              <w:right w:type="dxa" w:w="100"/>
            </w:tcMar>
          </w:tcPr>
          <w:p>
            <w:r>
              <w:rPr>
                <w:b w:val="false"/>
                <w:bCs w:val="false"/>
                <w:color w:val="000000"/>
                <w:sz w:val="20"/>
                <w:szCs w:val="20"/>
              </w:rPr>
              <w:t xml:space="preserve">Carga de MobileNetV2(weights='imagenet', include_top=False); adición de GlobalAveragePooling2D + Dropout(0.2) + Dense(1, activation='sigmoid'); compile() con Adam, binary_crossentropy, class_weight.</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9. Entrenamiento Fase 1</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base_model.trainable = False; model.fit() por 12 épocas, lr=1e-4, callbacks de EarlyStopping y ReduceLROnPlateau.</w:t>
            </w:r>
          </w:p>
        </w:tc>
      </w:tr>
      <w:tr>
        <w:tc>
          <w:tcPr>
            <w:tcW w:type="dxa" w:w="3000"/>
            <w:tcMar>
              <w:top w:type="dxa" w:w="80"/>
              <w:left w:type="dxa" w:w="100"/>
              <w:bottom w:type="dxa" w:w="80"/>
              <w:right w:type="dxa" w:w="100"/>
            </w:tcMar>
          </w:tcPr>
          <w:p>
            <w:r>
              <w:rPr>
                <w:b w:val="false"/>
                <w:bCs w:val="false"/>
                <w:color w:val="000000"/>
                <w:sz w:val="20"/>
                <w:szCs w:val="20"/>
              </w:rPr>
              <w:t xml:space="preserve">10. Entrenamiento Fase 2 (fine-tuning)</w:t>
            </w:r>
          </w:p>
        </w:tc>
        <w:tc>
          <w:tcPr>
            <w:tcW w:type="dxa" w:w="6500"/>
            <w:tcMar>
              <w:top w:type="dxa" w:w="80"/>
              <w:left w:type="dxa" w:w="100"/>
              <w:bottom w:type="dxa" w:w="80"/>
              <w:right w:type="dxa" w:w="100"/>
            </w:tcMar>
          </w:tcPr>
          <w:p>
            <w:r>
              <w:rPr>
                <w:b w:val="false"/>
                <w:bCs w:val="false"/>
                <w:color w:val="000000"/>
                <w:sz w:val="20"/>
                <w:szCs w:val="20"/>
              </w:rPr>
              <w:t xml:space="preserve">Descongelar las últimas 30 capas de la base; recompilar con lr=1e-5; model.fit() por 10 épocas más, mismos callbacks; aquí se acumula el tiempo total de 854 s.</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11. Curvas de entrenamiento</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Gráficas de accuracy y loss (train vs. val) por época con matplotlib, marcando el punto donde empieza la Fase 2 (fine-tuning).</w:t>
            </w:r>
          </w:p>
        </w:tc>
      </w:tr>
      <w:tr>
        <w:tc>
          <w:tcPr>
            <w:tcW w:type="dxa" w:w="3000"/>
            <w:tcMar>
              <w:top w:type="dxa" w:w="80"/>
              <w:left w:type="dxa" w:w="100"/>
              <w:bottom w:type="dxa" w:w="80"/>
              <w:right w:type="dxa" w:w="100"/>
            </w:tcMar>
          </w:tcPr>
          <w:p>
            <w:r>
              <w:rPr>
                <w:b w:val="false"/>
                <w:bCs w:val="false"/>
                <w:color w:val="000000"/>
                <w:sz w:val="20"/>
                <w:szCs w:val="20"/>
              </w:rPr>
              <w:t xml:space="preserve">12. Evaluación sobre test set</w:t>
            </w:r>
          </w:p>
        </w:tc>
        <w:tc>
          <w:tcPr>
            <w:tcW w:type="dxa" w:w="6500"/>
            <w:tcMar>
              <w:top w:type="dxa" w:w="80"/>
              <w:left w:type="dxa" w:w="100"/>
              <w:bottom w:type="dxa" w:w="80"/>
              <w:right w:type="dxa" w:w="100"/>
            </w:tcMar>
          </w:tcPr>
          <w:p>
            <w:r>
              <w:rPr>
                <w:b w:val="false"/>
                <w:bCs w:val="false"/>
                <w:color w:val="000000"/>
                <w:sz w:val="20"/>
                <w:szCs w:val="20"/>
              </w:rPr>
              <w:t xml:space="preserve">model.predict() sobre las 403 imágenes de prueba aisladas; cálculo de accuracy, precision, recall, F1 con classification_report de scikit-learn; construcción de la matriz de confusión con confusion_matrix().</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13. Análisis de errores</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Filtrado de las predicciones incorrectas, ordenadas por confianza, para mostrar los 'errores con mayor confianza' (los casos más ambiguos, figura 4 del informe de implementación).</w:t>
            </w:r>
          </w:p>
        </w:tc>
      </w:tr>
      <w:tr>
        <w:tc>
          <w:tcPr>
            <w:tcW w:type="dxa" w:w="3000"/>
            <w:tcMar>
              <w:top w:type="dxa" w:w="80"/>
              <w:left w:type="dxa" w:w="100"/>
              <w:bottom w:type="dxa" w:w="80"/>
              <w:right w:type="dxa" w:w="100"/>
            </w:tcMar>
          </w:tcPr>
          <w:p>
            <w:r>
              <w:rPr>
                <w:b w:val="false"/>
                <w:bCs w:val="false"/>
                <w:color w:val="000000"/>
                <w:sz w:val="20"/>
                <w:szCs w:val="20"/>
              </w:rPr>
              <w:t xml:space="preserve">14. Prueba manual con 24 imágenes</w:t>
            </w:r>
          </w:p>
        </w:tc>
        <w:tc>
          <w:tcPr>
            <w:tcW w:type="dxa" w:w="6500"/>
            <w:tcMar>
              <w:top w:type="dxa" w:w="80"/>
              <w:left w:type="dxa" w:w="100"/>
              <w:bottom w:type="dxa" w:w="80"/>
              <w:right w:type="dxa" w:w="100"/>
            </w:tcMar>
          </w:tcPr>
          <w:p>
            <w:r>
              <w:rPr>
                <w:b w:val="false"/>
                <w:bCs w:val="false"/>
                <w:color w:val="000000"/>
                <w:sz w:val="20"/>
                <w:szCs w:val="20"/>
              </w:rPr>
              <w:t xml:space="preserve">Selección de una muestra adicional de 24 imágenes del test set, predicción individual con su nivel de confianza, exportado a pruebas_modelo.csv.</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15. Medición de tiempo de inferencia</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Cronometraje (time.time() o similar) del predict() sobre una imagen o lote, promediado para obtener los 139.7 ms por imagen.</w:t>
            </w:r>
          </w:p>
        </w:tc>
      </w:tr>
      <w:tr>
        <w:tc>
          <w:tcPr>
            <w:tcW w:type="dxa" w:w="3000"/>
            <w:tcMar>
              <w:top w:type="dxa" w:w="80"/>
              <w:left w:type="dxa" w:w="100"/>
              <w:bottom w:type="dxa" w:w="80"/>
              <w:right w:type="dxa" w:w="100"/>
            </w:tcMar>
          </w:tcPr>
          <w:p>
            <w:r>
              <w:rPr>
                <w:b w:val="false"/>
                <w:bCs w:val="false"/>
                <w:color w:val="000000"/>
                <w:sz w:val="20"/>
                <w:szCs w:val="20"/>
              </w:rPr>
              <w:t xml:space="preserve">16. Exportación del modelo</w:t>
            </w:r>
          </w:p>
        </w:tc>
        <w:tc>
          <w:tcPr>
            <w:tcW w:type="dxa" w:w="6500"/>
            <w:tcMar>
              <w:top w:type="dxa" w:w="80"/>
              <w:left w:type="dxa" w:w="100"/>
              <w:bottom w:type="dxa" w:w="80"/>
              <w:right w:type="dxa" w:w="100"/>
            </w:tcMar>
          </w:tcPr>
          <w:p>
            <w:r>
              <w:rPr>
                <w:b w:val="false"/>
                <w:bCs w:val="false"/>
                <w:color w:val="000000"/>
                <w:sz w:val="20"/>
                <w:szCs w:val="20"/>
              </w:rPr>
              <w:t xml:space="preserve">model.save() a formato .keras; conversión con tf.lite.TFLiteConverter (incluyendo cuantización) para generar el .tflite de 2.41 MB.</w:t>
            </w:r>
          </w:p>
        </w:tc>
      </w:tr>
      <w:tr>
        <w:tc>
          <w:tcPr>
            <w:tcW w:type="dxa" w:w="3000"/>
            <w:shd w:fill="EAF2EC" w:val="clear"/>
            <w:tcMar>
              <w:top w:type="dxa" w:w="80"/>
              <w:left w:type="dxa" w:w="100"/>
              <w:bottom w:type="dxa" w:w="80"/>
              <w:right w:type="dxa" w:w="100"/>
            </w:tcMar>
          </w:tcPr>
          <w:p>
            <w:r>
              <w:rPr>
                <w:b w:val="false"/>
                <w:bCs w:val="false"/>
                <w:color w:val="000000"/>
                <w:sz w:val="20"/>
                <w:szCs w:val="20"/>
              </w:rPr>
              <w:t xml:space="preserve">17. Contrato de integración</w:t>
            </w:r>
          </w:p>
        </w:tc>
        <w:tc>
          <w:tcPr>
            <w:tcW w:type="dxa" w:w="6500"/>
            <w:shd w:fill="EAF2EC" w:val="clear"/>
            <w:tcMar>
              <w:top w:type="dxa" w:w="80"/>
              <w:left w:type="dxa" w:w="100"/>
              <w:bottom w:type="dxa" w:w="80"/>
              <w:right w:type="dxa" w:w="100"/>
            </w:tcMar>
          </w:tcPr>
          <w:p>
            <w:r>
              <w:rPr>
                <w:b w:val="false"/>
                <w:bCs w:val="false"/>
                <w:color w:val="000000"/>
                <w:sz w:val="20"/>
                <w:szCs w:val="20"/>
              </w:rPr>
              <w:t xml:space="preserve">Sección final que documenta cómo el módulo de captura entrega la imagen 224×224 normalizada al intérprete TFLite, y cómo la probabilidad de salida se pasa tal cual al módulo del sistema experto.</w:t>
            </w:r>
          </w:p>
        </w:tc>
      </w:tr>
    </w:tbl>
    <w:p>
      <w:pPr>
        <w:spacing w:after="140"/>
      </w:pPr>
      <w:r>
        <w:rPr>
          <w:i/>
          <w:iCs/>
          <w:color w:val="666666"/>
          <w:sz w:val="20"/>
          <w:szCs w:val="20"/>
        </w:rPr>
        <w:t xml:space="preserve">Nota: si el proyecto usa más de un notebook o script (por ejemplo uno para limpieza de dataset y otro para entrenamiento), esta tabla se puede dividir siguiendo la misma numeración. Si quieren, puedo revisar el/los .ipynb reales y reemplazar esta tabla por los números de celda exactos — solo súbanlos.</w:t>
      </w:r>
    </w:p>
    <w:p>
      <w:pPr>
        <w:pStyle w:val="Heading1"/>
        <w:spacing w:after="160" w:before="360"/>
      </w:pPr>
      <w:r>
        <w:t xml:space="preserve">9. Quién puede responder qué (según el guion de presentación)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F3B57" w:val="clear"/>
            <w:tcMar>
              <w:top w:type="dxa" w:w="80"/>
              <w:left w:type="dxa" w:w="100"/>
              <w:bottom w:type="dxa" w:w="80"/>
              <w:right w:type="dxa" w:w="100"/>
            </w:tcMar>
          </w:tcPr>
          <w:p>
            <w:r>
              <w:rPr>
                <w:b/>
                <w:bCs/>
                <w:color w:val="FFFFFF"/>
                <w:sz w:val="20"/>
                <w:szCs w:val="20"/>
              </w:rPr>
              <w:t xml:space="preserve">Integrante</w:t>
            </w:r>
          </w:p>
        </w:tc>
        <w:tc>
          <w:tcPr>
            <w:tcW w:type="dxa" w:w="3600"/>
            <w:shd w:fill="1F3B57" w:val="clear"/>
            <w:tcMar>
              <w:top w:type="dxa" w:w="80"/>
              <w:left w:type="dxa" w:w="100"/>
              <w:bottom w:type="dxa" w:w="80"/>
              <w:right w:type="dxa" w:w="100"/>
            </w:tcMar>
          </w:tcPr>
          <w:p>
            <w:r>
              <w:rPr>
                <w:b/>
                <w:bCs/>
                <w:color w:val="FFFFFF"/>
                <w:sz w:val="20"/>
                <w:szCs w:val="20"/>
              </w:rPr>
              <w:t xml:space="preserve">Tema asignado</w:t>
            </w:r>
          </w:p>
        </w:tc>
        <w:tc>
          <w:tcPr>
            <w:tcW w:type="dxa" w:w="3700"/>
            <w:shd w:fill="1F3B57" w:val="clear"/>
            <w:tcMar>
              <w:top w:type="dxa" w:w="80"/>
              <w:left w:type="dxa" w:w="100"/>
              <w:bottom w:type="dxa" w:w="80"/>
              <w:right w:type="dxa" w:w="100"/>
            </w:tcMar>
          </w:tcPr>
          <w:p>
            <w:r>
              <w:rPr>
                <w:b/>
                <w:bCs/>
                <w:color w:val="FFFFFF"/>
                <w:sz w:val="20"/>
                <w:szCs w:val="20"/>
              </w:rPr>
              <w:t xml:space="preserve">Preguntas que debería poder responder</w:t>
            </w:r>
          </w:p>
        </w:tc>
      </w:tr>
      <w:tr>
        <w:tc>
          <w:tcPr>
            <w:tcW w:type="dxa" w:w="2200"/>
            <w:shd w:fill="EAF2EC" w:val="clear"/>
            <w:tcMar>
              <w:top w:type="dxa" w:w="80"/>
              <w:left w:type="dxa" w:w="100"/>
              <w:bottom w:type="dxa" w:w="80"/>
              <w:right w:type="dxa" w:w="100"/>
            </w:tcMar>
          </w:tcPr>
          <w:p>
            <w:r>
              <w:rPr>
                <w:b w:val="false"/>
                <w:bCs w:val="false"/>
                <w:color w:val="000000"/>
                <w:sz w:val="20"/>
                <w:szCs w:val="20"/>
              </w:rPr>
              <w:t xml:space="preserve">Integrante 1</w:t>
            </w:r>
          </w:p>
        </w:tc>
        <w:tc>
          <w:tcPr>
            <w:tcW w:type="dxa" w:w="3600"/>
            <w:shd w:fill="EAF2EC" w:val="clear"/>
            <w:tcMar>
              <w:top w:type="dxa" w:w="80"/>
              <w:left w:type="dxa" w:w="100"/>
              <w:bottom w:type="dxa" w:w="80"/>
              <w:right w:type="dxa" w:w="100"/>
            </w:tcMar>
          </w:tcPr>
          <w:p>
            <w:r>
              <w:rPr>
                <w:b w:val="false"/>
                <w:bCs w:val="false"/>
                <w:color w:val="000000"/>
                <w:sz w:val="20"/>
                <w:szCs w:val="20"/>
              </w:rPr>
              <w:t xml:space="preserve">Introducción, problema y arquitectura de hardware</w:t>
            </w:r>
          </w:p>
        </w:tc>
        <w:tc>
          <w:tcPr>
            <w:tcW w:type="dxa" w:w="3700"/>
            <w:shd w:fill="EAF2EC" w:val="clear"/>
            <w:tcMar>
              <w:top w:type="dxa" w:w="80"/>
              <w:left w:type="dxa" w:w="100"/>
              <w:bottom w:type="dxa" w:w="80"/>
              <w:right w:type="dxa" w:w="100"/>
            </w:tcMar>
          </w:tcPr>
          <w:p>
            <w:r>
              <w:rPr>
                <w:b w:val="false"/>
                <w:bCs w:val="false"/>
                <w:color w:val="000000"/>
                <w:sz w:val="20"/>
                <w:szCs w:val="20"/>
              </w:rPr>
              <w:t xml:space="preserve">Bloques 1 y 6 (arquitectura, flujo físico, sistema experto).</w:t>
            </w:r>
          </w:p>
        </w:tc>
      </w:tr>
      <w:tr>
        <w:tc>
          <w:tcPr>
            <w:tcW w:type="dxa" w:w="2200"/>
            <w:tcMar>
              <w:top w:type="dxa" w:w="80"/>
              <w:left w:type="dxa" w:w="100"/>
              <w:bottom w:type="dxa" w:w="80"/>
              <w:right w:type="dxa" w:w="100"/>
            </w:tcMar>
          </w:tcPr>
          <w:p>
            <w:r>
              <w:rPr>
                <w:b w:val="false"/>
                <w:bCs w:val="false"/>
                <w:color w:val="000000"/>
                <w:sz w:val="20"/>
                <w:szCs w:val="20"/>
              </w:rPr>
              <w:t xml:space="preserve">Integrante 2</w:t>
            </w:r>
          </w:p>
        </w:tc>
        <w:tc>
          <w:tcPr>
            <w:tcW w:type="dxa" w:w="3600"/>
            <w:tcMar>
              <w:top w:type="dxa" w:w="80"/>
              <w:left w:type="dxa" w:w="100"/>
              <w:bottom w:type="dxa" w:w="80"/>
              <w:right w:type="dxa" w:w="100"/>
            </w:tcMar>
          </w:tcPr>
          <w:p>
            <w:r>
              <w:rPr>
                <w:b w:val="false"/>
                <w:bCs w:val="false"/>
                <w:color w:val="000000"/>
                <w:sz w:val="20"/>
                <w:szCs w:val="20"/>
              </w:rPr>
              <w:t xml:space="preserve">Análisis, limpieza y preparación del dataset</w:t>
            </w:r>
          </w:p>
        </w:tc>
        <w:tc>
          <w:tcPr>
            <w:tcW w:type="dxa" w:w="3700"/>
            <w:tcMar>
              <w:top w:type="dxa" w:w="80"/>
              <w:left w:type="dxa" w:w="100"/>
              <w:bottom w:type="dxa" w:w="80"/>
              <w:right w:type="dxa" w:w="100"/>
            </w:tcMar>
          </w:tcPr>
          <w:p>
            <w:r>
              <w:rPr>
                <w:b w:val="false"/>
                <w:bCs w:val="false"/>
                <w:color w:val="000000"/>
                <w:sz w:val="20"/>
                <w:szCs w:val="20"/>
              </w:rPr>
              <w:t xml:space="preserve">Bloque 2 completo (origen, duplicados, HEIC, balance, split).</w:t>
            </w:r>
          </w:p>
        </w:tc>
      </w:tr>
      <w:tr>
        <w:tc>
          <w:tcPr>
            <w:tcW w:type="dxa" w:w="2200"/>
            <w:shd w:fill="EAF2EC" w:val="clear"/>
            <w:tcMar>
              <w:top w:type="dxa" w:w="80"/>
              <w:left w:type="dxa" w:w="100"/>
              <w:bottom w:type="dxa" w:w="80"/>
              <w:right w:type="dxa" w:w="100"/>
            </w:tcMar>
          </w:tcPr>
          <w:p>
            <w:r>
              <w:rPr>
                <w:b w:val="false"/>
                <w:bCs w:val="false"/>
                <w:color w:val="000000"/>
                <w:sz w:val="20"/>
                <w:szCs w:val="20"/>
              </w:rPr>
              <w:t xml:space="preserve">Integrante 3</w:t>
            </w:r>
          </w:p>
        </w:tc>
        <w:tc>
          <w:tcPr>
            <w:tcW w:type="dxa" w:w="3600"/>
            <w:shd w:fill="EAF2EC" w:val="clear"/>
            <w:tcMar>
              <w:top w:type="dxa" w:w="80"/>
              <w:left w:type="dxa" w:w="100"/>
              <w:bottom w:type="dxa" w:w="80"/>
              <w:right w:type="dxa" w:w="100"/>
            </w:tcMar>
          </w:tcPr>
          <w:p>
            <w:r>
              <w:rPr>
                <w:b w:val="false"/>
                <w:bCs w:val="false"/>
                <w:color w:val="000000"/>
                <w:sz w:val="20"/>
                <w:szCs w:val="20"/>
              </w:rPr>
              <w:t xml:space="preserve">Diseño del modelo de IA</w:t>
            </w:r>
          </w:p>
        </w:tc>
        <w:tc>
          <w:tcPr>
            <w:tcW w:type="dxa" w:w="3700"/>
            <w:shd w:fill="EAF2EC" w:val="clear"/>
            <w:tcMar>
              <w:top w:type="dxa" w:w="80"/>
              <w:left w:type="dxa" w:w="100"/>
              <w:bottom w:type="dxa" w:w="80"/>
              <w:right w:type="dxa" w:w="100"/>
            </w:tcMar>
          </w:tcPr>
          <w:p>
            <w:r>
              <w:rPr>
                <w:b w:val="false"/>
                <w:bCs w:val="false"/>
                <w:color w:val="000000"/>
                <w:sz w:val="20"/>
                <w:szCs w:val="20"/>
              </w:rPr>
              <w:t xml:space="preserve">Bloque 3 (por qué MobileNetV2, transfer learning, riesgos de diseño).</w:t>
            </w:r>
          </w:p>
        </w:tc>
      </w:tr>
      <w:tr>
        <w:tc>
          <w:tcPr>
            <w:tcW w:type="dxa" w:w="2200"/>
            <w:tcMar>
              <w:top w:type="dxa" w:w="80"/>
              <w:left w:type="dxa" w:w="100"/>
              <w:bottom w:type="dxa" w:w="80"/>
              <w:right w:type="dxa" w:w="100"/>
            </w:tcMar>
          </w:tcPr>
          <w:p>
            <w:r>
              <w:rPr>
                <w:b w:val="false"/>
                <w:bCs w:val="false"/>
                <w:color w:val="000000"/>
                <w:sz w:val="20"/>
                <w:szCs w:val="20"/>
              </w:rPr>
              <w:t xml:space="preserve">Integrante 4</w:t>
            </w:r>
          </w:p>
        </w:tc>
        <w:tc>
          <w:tcPr>
            <w:tcW w:type="dxa" w:w="3600"/>
            <w:tcMar>
              <w:top w:type="dxa" w:w="80"/>
              <w:left w:type="dxa" w:w="100"/>
              <w:bottom w:type="dxa" w:w="80"/>
              <w:right w:type="dxa" w:w="100"/>
            </w:tcMar>
          </w:tcPr>
          <w:p>
            <w:r>
              <w:rPr>
                <w:b w:val="false"/>
                <w:bCs w:val="false"/>
                <w:color w:val="000000"/>
                <w:sz w:val="20"/>
                <w:szCs w:val="20"/>
              </w:rPr>
              <w:t xml:space="preserve">Flujo de entrenamiento y exportación</w:t>
            </w:r>
          </w:p>
        </w:tc>
        <w:tc>
          <w:tcPr>
            <w:tcW w:type="dxa" w:w="3700"/>
            <w:tcMar>
              <w:top w:type="dxa" w:w="80"/>
              <w:left w:type="dxa" w:w="100"/>
              <w:bottom w:type="dxa" w:w="80"/>
              <w:right w:type="dxa" w:w="100"/>
            </w:tcMar>
          </w:tcPr>
          <w:p>
            <w:r>
              <w:rPr>
                <w:b w:val="false"/>
                <w:bCs w:val="false"/>
                <w:color w:val="000000"/>
                <w:sz w:val="20"/>
                <w:szCs w:val="20"/>
              </w:rPr>
              <w:t xml:space="preserve">Bloque 4 completo (fases, épocas, hiperparámetros, exportación a TFLite).</w:t>
            </w:r>
          </w:p>
        </w:tc>
      </w:tr>
      <w:tr>
        <w:tc>
          <w:tcPr>
            <w:tcW w:type="dxa" w:w="2200"/>
            <w:shd w:fill="EAF2EC" w:val="clear"/>
            <w:tcMar>
              <w:top w:type="dxa" w:w="80"/>
              <w:left w:type="dxa" w:w="100"/>
              <w:bottom w:type="dxa" w:w="80"/>
              <w:right w:type="dxa" w:w="100"/>
            </w:tcMar>
          </w:tcPr>
          <w:p>
            <w:r>
              <w:rPr>
                <w:b w:val="false"/>
                <w:bCs w:val="false"/>
                <w:color w:val="000000"/>
                <w:sz w:val="20"/>
                <w:szCs w:val="20"/>
              </w:rPr>
              <w:t xml:space="preserve">Integrante 5</w:t>
            </w:r>
          </w:p>
        </w:tc>
        <w:tc>
          <w:tcPr>
            <w:tcW w:type="dxa" w:w="3600"/>
            <w:shd w:fill="EAF2EC" w:val="clear"/>
            <w:tcMar>
              <w:top w:type="dxa" w:w="80"/>
              <w:left w:type="dxa" w:w="100"/>
              <w:bottom w:type="dxa" w:w="80"/>
              <w:right w:type="dxa" w:w="100"/>
            </w:tcMar>
          </w:tcPr>
          <w:p>
            <w:r>
              <w:rPr>
                <w:b w:val="false"/>
                <w:bCs w:val="false"/>
                <w:color w:val="000000"/>
                <w:sz w:val="20"/>
                <w:szCs w:val="20"/>
              </w:rPr>
              <w:t xml:space="preserve">Resultados, integración web y conclusiones</w:t>
            </w:r>
          </w:p>
        </w:tc>
        <w:tc>
          <w:tcPr>
            <w:tcW w:type="dxa" w:w="3700"/>
            <w:shd w:fill="EAF2EC" w:val="clear"/>
            <w:tcMar>
              <w:top w:type="dxa" w:w="80"/>
              <w:left w:type="dxa" w:w="100"/>
              <w:bottom w:type="dxa" w:w="80"/>
              <w:right w:type="dxa" w:w="100"/>
            </w:tcMar>
          </w:tcPr>
          <w:p>
            <w:r>
              <w:rPr>
                <w:b w:val="false"/>
                <w:bCs w:val="false"/>
                <w:color w:val="000000"/>
                <w:sz w:val="20"/>
                <w:szCs w:val="20"/>
              </w:rPr>
              <w:t xml:space="preserve">Bloque 5 completo (métricas, matriz de confusión, dashboard RePoints, conclusiones).</w:t>
            </w:r>
          </w:p>
        </w:tc>
      </w:tr>
    </w:tbl>
    <w:p>
      <w:pPr>
        <w:spacing w:after="140"/>
      </w:pPr>
      <w:r>
        <w:rPr>
          <w:b/>
          <w:bCs/>
        </w:rPr>
        <w:t xml:space="preserve">Recomendación: aunque cada integrante tenga su bloque, todos deberían poder responder al menos el Resumen ejecutivo (sección 0) y el Bloque 7 (preguntas trampa), porque suelen ser las primeras que hace un tribunal para ver si el equipo domina el proyecto como un todo, no solo su parte.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2026-08-06T12:52:33.849Z</dcterms:created>
  <dcterms:modified xsi:type="dcterms:W3CDTF">2026-08-06T12:52:33.863Z</dcterms:modified>
</cp:coreProperties>
</file>

<file path=docProps/custom.xml><?xml version="1.0" encoding="utf-8"?>
<Properties xmlns="http://schemas.openxmlformats.org/officeDocument/2006/custom-properties" xmlns:vt="http://schemas.openxmlformats.org/officeDocument/2006/docPropsVTypes"/>
</file>