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111"/>
          <w:sz w:val="36"/>
        </w:rPr>
        <w:t>CONDICIONES DE COMPRA, SUSCRIPCIONES Y REEMBOLSOS</w:t>
      </w:r>
    </w:p>
    <w:p>
      <w:pPr>
        <w:jc w:val="left"/>
      </w:pPr>
      <w:r>
        <w:rPr>
          <w:rFonts w:ascii="Arial" w:hAnsi="Arial"/>
          <w:color w:val="505050"/>
          <w:sz w:val="21"/>
        </w:rPr>
        <w:t>Cursos y servicios digitales adquiridos a través de ILYROX</w:t>
      </w:r>
    </w:p>
    <w:tbl>
      <w:tblPr>
        <w:tblW w:type="auto" w:w="0"/>
        <w:jc w:val="center"/>
        <w:tblLayout w:type="fixed"/>
        <w:tblLook w:firstColumn="1" w:firstRow="1" w:lastColumn="0" w:lastRow="0" w:noHBand="0" w:noVBand="1" w:val="04A0"/>
      </w:tblPr>
      <w:tblGrid>
        <w:gridCol w:w="2592"/>
        <w:gridCol w:w="7056"/>
      </w:tblGrid>
      <w:tr>
        <w:tc>
          <w:tcPr>
            <w:tcW w:type="dxa" w:w="2592"/>
            <w:shd w:fill="F0F0F0"/>
            <w:vAlign w:val="center"/>
          </w:tcPr>
          <w:p>
            <w:pPr>
              <w:spacing w:after="0"/>
            </w:pPr>
            <w:r>
              <w:rPr>
                <w:rFonts w:ascii="Arial" w:hAnsi="Arial"/>
                <w:b/>
                <w:sz w:val="16"/>
              </w:rPr>
              <w:t>Aplicación / servicio</w:t>
            </w:r>
          </w:p>
        </w:tc>
        <w:tc>
          <w:tcPr>
            <w:tcW w:type="dxa" w:w="7056"/>
            <w:vAlign w:val="center"/>
          </w:tcPr>
          <w:p>
            <w:pPr>
              <w:spacing w:after="0"/>
            </w:pPr>
            <w:r>
              <w:rPr>
                <w:rFonts w:ascii="Arial" w:hAnsi="Arial"/>
                <w:b w:val="0"/>
                <w:sz w:val="16"/>
              </w:rPr>
              <w:t>ILYROX</w:t>
            </w:r>
          </w:p>
        </w:tc>
      </w:tr>
      <w:tr>
        <w:tc>
          <w:tcPr>
            <w:tcW w:type="dxa" w:w="2592"/>
            <w:shd w:fill="F0F0F0"/>
            <w:vAlign w:val="center"/>
          </w:tcPr>
          <w:p>
            <w:pPr>
              <w:spacing w:after="0"/>
            </w:pPr>
            <w:r>
              <w:rPr>
                <w:rFonts w:ascii="Arial" w:hAnsi="Arial"/>
                <w:b/>
                <w:sz w:val="16"/>
              </w:rPr>
              <w:t>Sitio web</w:t>
            </w:r>
          </w:p>
        </w:tc>
        <w:tc>
          <w:tcPr>
            <w:tcW w:type="dxa" w:w="7056"/>
            <w:vAlign w:val="center"/>
          </w:tcPr>
          <w:p>
            <w:pPr>
              <w:spacing w:after="0"/>
            </w:pPr>
            <w:r>
              <w:rPr>
                <w:rFonts w:ascii="Arial" w:hAnsi="Arial"/>
                <w:b w:val="0"/>
                <w:sz w:val="16"/>
              </w:rPr>
              <w:t>www.ilyrox.com</w:t>
            </w:r>
          </w:p>
        </w:tc>
      </w:tr>
      <w:tr>
        <w:tc>
          <w:tcPr>
            <w:tcW w:type="dxa" w:w="2592"/>
            <w:shd w:fill="F0F0F0"/>
            <w:vAlign w:val="center"/>
          </w:tcPr>
          <w:p>
            <w:pPr>
              <w:spacing w:after="0"/>
            </w:pPr>
            <w:r>
              <w:rPr>
                <w:rFonts w:ascii="Arial" w:hAnsi="Arial"/>
                <w:b/>
                <w:sz w:val="16"/>
              </w:rPr>
              <w:t>Responsable / proveedor</w:t>
            </w:r>
          </w:p>
        </w:tc>
        <w:tc>
          <w:tcPr>
            <w:tcW w:type="dxa" w:w="7056"/>
            <w:vAlign w:val="center"/>
          </w:tcPr>
          <w:p>
            <w:pPr>
              <w:spacing w:after="0"/>
            </w:pPr>
            <w:r>
              <w:rPr>
                <w:rFonts w:ascii="Arial" w:hAnsi="Arial"/>
                <w:b w:val="0"/>
                <w:sz w:val="16"/>
              </w:rPr>
              <w:t>ILYROX TECHNOLOGIES, S.A.P.I. DE C.V.</w:t>
            </w:r>
          </w:p>
        </w:tc>
      </w:tr>
      <w:tr>
        <w:tc>
          <w:tcPr>
            <w:tcW w:type="dxa" w:w="2592"/>
            <w:shd w:fill="F0F0F0"/>
            <w:vAlign w:val="center"/>
          </w:tcPr>
          <w:p>
            <w:pPr>
              <w:spacing w:after="0"/>
            </w:pPr>
            <w:r>
              <w:rPr>
                <w:rFonts w:ascii="Arial" w:hAnsi="Arial"/>
                <w:b/>
                <w:sz w:val="16"/>
              </w:rPr>
              <w:t>RFC</w:t>
            </w:r>
          </w:p>
        </w:tc>
        <w:tc>
          <w:tcPr>
            <w:tcW w:type="dxa" w:w="7056"/>
            <w:vAlign w:val="center"/>
          </w:tcPr>
          <w:p>
            <w:pPr>
              <w:spacing w:after="0"/>
            </w:pPr>
            <w:r>
              <w:rPr>
                <w:rFonts w:ascii="Arial" w:hAnsi="Arial"/>
                <w:b w:val="0"/>
                <w:sz w:val="16"/>
              </w:rPr>
              <w:t>ITE2608279M7</w:t>
            </w:r>
          </w:p>
        </w:tc>
      </w:tr>
      <w:tr>
        <w:tc>
          <w:tcPr>
            <w:tcW w:type="dxa" w:w="2592"/>
            <w:shd w:fill="F0F0F0"/>
            <w:vAlign w:val="center"/>
          </w:tcPr>
          <w:p>
            <w:pPr>
              <w:spacing w:after="0"/>
            </w:pPr>
            <w:r>
              <w:rPr>
                <w:rFonts w:ascii="Arial" w:hAnsi="Arial"/>
                <w:b/>
                <w:sz w:val="16"/>
              </w:rPr>
              <w:t>Domicilio social</w:t>
            </w:r>
          </w:p>
        </w:tc>
        <w:tc>
          <w:tcPr>
            <w:tcW w:type="dxa" w:w="7056"/>
            <w:vAlign w:val="center"/>
          </w:tcPr>
          <w:p>
            <w:pPr>
              <w:spacing w:after="0"/>
            </w:pPr>
            <w:r>
              <w:rPr>
                <w:rFonts w:ascii="Arial" w:hAnsi="Arial"/>
                <w:b w:val="0"/>
                <w:sz w:val="16"/>
              </w:rPr>
              <w:t>Aguascalientes, Aguascalientes, México</w:t>
            </w:r>
          </w:p>
        </w:tc>
      </w:tr>
      <w:tr>
        <w:tc>
          <w:tcPr>
            <w:tcW w:type="dxa" w:w="2592"/>
            <w:shd w:fill="F0F0F0"/>
            <w:vAlign w:val="center"/>
          </w:tcPr>
          <w:p>
            <w:pPr>
              <w:spacing w:after="0"/>
            </w:pPr>
            <w:r>
              <w:rPr>
                <w:rFonts w:ascii="Arial" w:hAnsi="Arial"/>
                <w:b/>
                <w:sz w:val="16"/>
              </w:rPr>
              <w:t>Domicilio para notificaciones</w:t>
            </w:r>
          </w:p>
        </w:tc>
        <w:tc>
          <w:tcPr>
            <w:tcW w:type="dxa" w:w="7056"/>
            <w:vAlign w:val="center"/>
          </w:tcPr>
          <w:p>
            <w:pPr>
              <w:spacing w:after="0"/>
            </w:pPr>
            <w:r>
              <w:rPr>
                <w:rFonts w:ascii="Arial" w:hAnsi="Arial"/>
                <w:b w:val="0"/>
                <w:sz w:val="16"/>
              </w:rPr>
              <w:t>Juan Morales 1319, Col. Hacienda los Morales, San Nicolás de los Garza, Nuevo León, México, C.P. 66495</w:t>
            </w:r>
          </w:p>
        </w:tc>
      </w:tr>
      <w:tr>
        <w:tc>
          <w:tcPr>
            <w:tcW w:type="dxa" w:w="2592"/>
            <w:shd w:fill="F0F0F0"/>
            <w:vAlign w:val="center"/>
          </w:tcPr>
          <w:p>
            <w:pPr>
              <w:spacing w:after="0"/>
            </w:pPr>
            <w:r>
              <w:rPr>
                <w:rFonts w:ascii="Arial" w:hAnsi="Arial"/>
                <w:b/>
                <w:sz w:val="16"/>
              </w:rPr>
              <w:t>Teléfono empresarial</w:t>
            </w:r>
          </w:p>
        </w:tc>
        <w:tc>
          <w:tcPr>
            <w:tcW w:type="dxa" w:w="7056"/>
            <w:vAlign w:val="center"/>
          </w:tcPr>
          <w:p>
            <w:pPr>
              <w:spacing w:after="0"/>
            </w:pPr>
            <w:r>
              <w:rPr>
                <w:rFonts w:ascii="Arial" w:hAnsi="Arial"/>
                <w:b w:val="0"/>
                <w:sz w:val="16"/>
              </w:rPr>
              <w:t>+52 81 3679 8047</w:t>
            </w:r>
          </w:p>
        </w:tc>
      </w:tr>
      <w:tr>
        <w:tc>
          <w:tcPr>
            <w:tcW w:type="dxa" w:w="2592"/>
            <w:shd w:fill="F0F0F0"/>
            <w:vAlign w:val="center"/>
          </w:tcPr>
          <w:p>
            <w:pPr>
              <w:spacing w:after="0"/>
            </w:pPr>
            <w:r>
              <w:rPr>
                <w:rFonts w:ascii="Arial" w:hAnsi="Arial"/>
                <w:b/>
                <w:sz w:val="16"/>
              </w:rPr>
              <w:t>Soporte / reclamaciones</w:t>
            </w:r>
          </w:p>
        </w:tc>
        <w:tc>
          <w:tcPr>
            <w:tcW w:type="dxa" w:w="7056"/>
            <w:vAlign w:val="center"/>
          </w:tcPr>
          <w:p>
            <w:pPr>
              <w:spacing w:after="0"/>
            </w:pPr>
            <w:r>
              <w:rPr>
                <w:rFonts w:ascii="Arial" w:hAnsi="Arial"/>
                <w:b w:val="0"/>
                <w:sz w:val="16"/>
              </w:rPr>
              <w:t>ayuda@ilyrox.com</w:t>
            </w:r>
          </w:p>
        </w:tc>
      </w:tr>
      <w:tr>
        <w:tc>
          <w:tcPr>
            <w:tcW w:type="dxa" w:w="2592"/>
            <w:shd w:fill="F0F0F0"/>
            <w:vAlign w:val="center"/>
          </w:tcPr>
          <w:p>
            <w:pPr>
              <w:spacing w:after="0"/>
            </w:pPr>
            <w:r>
              <w:rPr>
                <w:rFonts w:ascii="Arial" w:hAnsi="Arial"/>
                <w:b/>
                <w:sz w:val="16"/>
              </w:rPr>
              <w:t>Privacidad</w:t>
            </w:r>
          </w:p>
        </w:tc>
        <w:tc>
          <w:tcPr>
            <w:tcW w:type="dxa" w:w="7056"/>
            <w:vAlign w:val="center"/>
          </w:tcPr>
          <w:p>
            <w:pPr>
              <w:spacing w:after="0"/>
            </w:pPr>
            <w:r>
              <w:rPr>
                <w:rFonts w:ascii="Arial" w:hAnsi="Arial"/>
                <w:b w:val="0"/>
                <w:sz w:val="16"/>
              </w:rPr>
              <w:t>privacidad@ilyrox.com</w:t>
            </w:r>
          </w:p>
        </w:tc>
      </w:tr>
      <w:tr>
        <w:tc>
          <w:tcPr>
            <w:tcW w:type="dxa" w:w="2592"/>
            <w:shd w:fill="F0F0F0"/>
            <w:vAlign w:val="center"/>
          </w:tcPr>
          <w:p>
            <w:pPr>
              <w:spacing w:after="0"/>
            </w:pPr>
            <w:r>
              <w:rPr>
                <w:rFonts w:ascii="Arial" w:hAnsi="Arial"/>
                <w:b/>
                <w:sz w:val="16"/>
              </w:rPr>
              <w:t>Seguridad</w:t>
            </w:r>
          </w:p>
        </w:tc>
        <w:tc>
          <w:tcPr>
            <w:tcW w:type="dxa" w:w="7056"/>
            <w:vAlign w:val="center"/>
          </w:tcPr>
          <w:p>
            <w:pPr>
              <w:spacing w:after="0"/>
            </w:pPr>
            <w:r>
              <w:rPr>
                <w:rFonts w:ascii="Arial" w:hAnsi="Arial"/>
                <w:b w:val="0"/>
                <w:sz w:val="16"/>
              </w:rPr>
              <w:t>seguridad@ilyrox.com</w:t>
            </w:r>
          </w:p>
        </w:tc>
      </w:tr>
      <w:tr>
        <w:tc>
          <w:tcPr>
            <w:tcW w:type="dxa" w:w="2592"/>
            <w:shd w:fill="F0F0F0"/>
            <w:vAlign w:val="center"/>
          </w:tcPr>
          <w:p>
            <w:pPr>
              <w:spacing w:after="0"/>
            </w:pPr>
            <w:r>
              <w:rPr>
                <w:rFonts w:ascii="Arial" w:hAnsi="Arial"/>
                <w:b/>
                <w:sz w:val="16"/>
              </w:rPr>
              <w:t>Versión</w:t>
            </w:r>
          </w:p>
        </w:tc>
        <w:tc>
          <w:tcPr>
            <w:tcW w:type="dxa" w:w="7056"/>
            <w:vAlign w:val="center"/>
          </w:tcPr>
          <w:p>
            <w:r>
              <w:t>v1.2</w:t>
            </w:r>
          </w:p>
        </w:tc>
      </w:tr>
      <w:tr>
        <w:tc>
          <w:tcPr>
            <w:tcW w:type="dxa" w:w="2592"/>
            <w:shd w:fill="F0F0F0"/>
            <w:vAlign w:val="center"/>
          </w:tcPr>
          <w:p>
            <w:pPr>
              <w:spacing w:after="0"/>
            </w:pPr>
            <w:r>
              <w:rPr>
                <w:rFonts w:ascii="Arial" w:hAnsi="Arial"/>
                <w:b/>
                <w:sz w:val="16"/>
              </w:rPr>
              <w:t>Última actualización</w:t>
            </w:r>
          </w:p>
        </w:tc>
        <w:tc>
          <w:tcPr>
            <w:tcW w:type="dxa" w:w="7056"/>
            <w:vAlign w:val="center"/>
          </w:tcPr>
          <w:p>
            <w:pPr>
              <w:spacing w:after="0"/>
            </w:pPr>
            <w:r>
              <w:rPr>
                <w:rFonts w:ascii="Arial" w:hAnsi="Arial"/>
                <w:b w:val="0"/>
                <w:sz w:val="16"/>
              </w:rPr>
              <w:t>28 de septiembre de 2026</w:t>
            </w:r>
          </w:p>
        </w:tc>
      </w:tr>
      <w:tr>
        <w:tc>
          <w:tcPr>
            <w:tcW w:type="dxa" w:w="2592"/>
            <w:shd w:fill="F0F0F0"/>
            <w:vAlign w:val="center"/>
          </w:tcPr>
          <w:p>
            <w:pPr>
              <w:spacing w:after="0"/>
            </w:pPr>
            <w:r>
              <w:rPr>
                <w:rFonts w:ascii="Arial" w:hAnsi="Arial"/>
                <w:b/>
                <w:sz w:val="16"/>
              </w:rPr>
              <w:t>URL pública prevista</w:t>
            </w:r>
          </w:p>
        </w:tc>
        <w:tc>
          <w:tcPr>
            <w:tcW w:type="dxa" w:w="7056"/>
            <w:vAlign w:val="center"/>
          </w:tcPr>
          <w:p>
            <w:pPr>
              <w:spacing w:after="0"/>
            </w:pPr>
            <w:r>
              <w:rPr>
                <w:rFonts w:ascii="Arial" w:hAnsi="Arial"/>
                <w:b w:val="0"/>
                <w:sz w:val="16"/>
              </w:rPr>
              <w:t>https://www.ilyrox.com/legal/compras</w:t>
            </w:r>
          </w:p>
        </w:tc>
      </w:tr>
    </w:tbl>
    <w:p/>
    <w:tbl>
      <w:tblPr>
        <w:tblW w:type="auto" w:w="0"/>
        <w:jc w:val="center"/>
        <w:tblLook w:firstColumn="1" w:firstRow="1" w:lastColumn="0" w:lastRow="0" w:noHBand="0" w:noVBand="1" w:val="04A0"/>
      </w:tblPr>
      <w:tblGrid>
        <w:gridCol w:w="10166"/>
      </w:tblGrid>
      <w:tr>
        <w:tc>
          <w:tcPr>
            <w:tcW w:type="dxa" w:w="10166"/>
            <w:shd w:fill="F3F6F5"/>
          </w:tcPr>
          <w:p>
            <w:r>
              <w:rPr>
                <w:rFonts w:ascii="Arial" w:hAnsi="Arial"/>
                <w:b/>
                <w:color w:val="1F5C4E"/>
                <w:sz w:val="18"/>
              </w:rPr>
              <w:t>Modelo de plataforma</w:t>
              <w:br/>
            </w:r>
            <w:r>
              <w:rPr>
                <w:rFonts w:ascii="Arial" w:hAnsi="Arial"/>
                <w:sz w:val="18"/>
              </w:rPr>
              <w:t>En Cursos creados por terceros, el Instructor es el proveedor del contenido. ILYROX facilita la plataforma, acceso, soporte operativo y cobro/reembolso cuando corresponda. Si un Curso identifica expresamente a ILYROX como creador o proveedor, ILYROX asume esa calidad para ese producto.</w:t>
            </w:r>
          </w:p>
        </w:tc>
      </w:tr>
    </w:tbl>
    <w:p/>
    <w:p>
      <w:pPr>
        <w:pStyle w:val="Heading1"/>
      </w:pPr>
      <w:r>
        <w:t>1. Información antes de comprar</w:t>
      </w:r>
    </w:p>
    <w:p>
      <w:r>
        <w:t>Antes de confirmar una compra, la página de oferta o checkout mostrará de forma clara la información material disponible: nombre del Curso o servicio, identidad o nombre profesional del Instructor/proveedor, contenido o alcance, modalidad, precio total y cargos aplicables, impuestos cuando procedan, vigencia de acceso, requisitos, periodicidad si existe suscripción, medios de pago, reglas de cancelación y reembolso y datos de soporte.</w:t>
      </w:r>
    </w:p>
    <w:p>
      <w:pPr>
        <w:pStyle w:val="Heading1"/>
      </w:pPr>
      <w:r>
        <w:t>2. Confirmación y evidencia de la transacción</w:t>
      </w:r>
    </w:p>
    <w:p>
      <w:r>
        <w:t>La compra se perfecciona cuando el procesador confirma la operación y el sistema genera un registro de transacción. ILYROX podrá conservar comprobantes, identificadores, fecha y hora, versión de condiciones aceptada, método de pago tokenizado o referencia equivalente y demás evidencia necesaria para soporte y cumplimiento.</w:t>
      </w:r>
    </w:p>
    <w:p>
      <w:pPr>
        <w:pStyle w:val="Heading1"/>
      </w:pPr>
      <w:r>
        <w:t>3. Acceso al Curso o servicio</w:t>
      </w:r>
    </w:p>
    <w:p>
      <w:r>
        <w:t>El acceso se habilitará de acuerdo con la oferta. Puede ser por periodo fijo, suscripción o acceso mientras el producto permanezca disponible. Si un Curso es retirado por el Instructor y existen compradores con derecho vigente, ILYROX podrá mantener el contenido estrictamente para honrar accesos existentes, sustituirlo razonablemente o gestionar un reembolso conforme a estas Condiciones y la ley.</w:t>
      </w:r>
    </w:p>
    <w:p>
      <w:pPr>
        <w:pStyle w:val="Heading1"/>
      </w:pPr>
      <w:r>
        <w:t>4. Instructor como proveedor del contenido</w:t>
      </w:r>
    </w:p>
    <w:p>
      <w:r>
        <w:t>En Cursos de terceros, el Instructor responde por titularidad, legalidad, calidad, exactitud, actualización, promesas, materiales y soporte académico. ILYROX no adopta como propias las afirmaciones del Instructor por el solo hecho de alojar, distribuir o facilitar el cobro. Esta asignación contractual no limita obligaciones irrenunciables que la ley atribuya directamente a ILYROX.</w:t>
      </w:r>
    </w:p>
    <w:p>
      <w:pPr>
        <w:pStyle w:val="Heading1"/>
      </w:pPr>
      <w:r>
        <w:t>5. Pagos y procesadores</w:t>
      </w:r>
    </w:p>
    <w:p>
      <w:r>
        <w:t>Los pagos pueden procesarse mediante tiendas de aplicaciones, instituciones financieras o proveedores externos. ILYROX puede recibir los importes por cuenta del Instructor, aplicar tarifas, retenciones, devoluciones y ajustes conforme al Contrato de Instructor. El comprador debe proporcionar información veraz y utilizar medios de pago autorizados.</w:t>
      </w:r>
    </w:p>
    <w:p>
      <w:pPr>
        <w:pStyle w:val="Heading1"/>
      </w:pPr>
      <w:r>
        <w:t>6. Reembolsos, devoluciones y cancelaciones</w:t>
      </w:r>
    </w:p>
    <w:p>
      <w:r>
        <w:t>Cada oferta indicará la política aplicable y cualquier plazo comercial adicional. ILYROX podrá tramitar reembolsos cuando lo exija la ley, la tienda o procesador, cuando la oferta lo permita, ante fraude, duplicidad, falla técnica material o incumplimiento comprobado. La existencia de acceso o consumo del contenido podrá considerarse cuando la ley lo permita, sin afectar derechos irrenunciables del consumidor.</w:t>
      </w:r>
    </w:p>
    <w:p>
      <w:r>
        <w:t>Los reembolsos aprobados se realizarán al medio permitido por el procesador. Los tiempos de reflejo dependen también de bancos y terceros. Un contracargo abierto puede impedir o suspender un reembolso paralelo hasta que el proceso se resuelva.</w:t>
      </w:r>
    </w:p>
    <w:p>
      <w:pPr/>
      <w:r>
        <w:t>Cuando resulte aplicable a una venta mediata o indirecta, el consumidor conservará el derecho de revocar su consentimiento dentro del plazo legal aplicable. Conforme al artículo 56 de la Ley Federal de Protección al Consumidor, el plazo general es de cinco días hábiles y, tratándose de servicios, dicha regla no aplica cuando la fecha de prestación se encuentre a diez días hábiles o menos de la orden de compra. Nada en estas Condiciones limita ese derecho cuando legalmente proceda.</w:t>
      </w:r>
    </w:p>
    <w:p>
      <w:pPr>
        <w:pStyle w:val="Heading1"/>
      </w:pPr>
      <w:r>
        <w:t>7. Suscripciones y cobro recurrente</w:t>
      </w:r>
    </w:p>
    <w:p>
      <w:r>
        <w:t>Si la compra implica cobros automáticos recurrentes, antes de contratar se informarán de forma clara, destacada y accesible la periodicidad, monto y fecha de cobro. El cobro recurrente requerirá consentimiento expreso e informado.</w:t>
      </w:r>
    </w:p>
    <w:p>
      <w:r>
        <w:t>Cuando el contrato contemple renovación automática, ILYROX notificará al Usuario con al menos cinco días naturales de anticipación, permitirá cancelar la renovación sin penalización e implementará un mecanismo para cancelar el servicio, suscripción o membresía de manera inmediata. Si una tienda de aplicaciones o procesador administra la suscripción, la cancelación podrá ejecutarse mediante sus mecanismos, siempre respetando los derechos mínimos previstos por la legislación mexicana y cualquier protección adicional aplicable.</w:t>
      </w:r>
    </w:p>
    <w:p>
      <w:pPr>
        <w:pStyle w:val="Heading1"/>
      </w:pPr>
      <w:r>
        <w:t>8. Uso personal y seguridad de cuenta</w:t>
      </w:r>
    </w:p>
    <w:p>
      <w:r>
        <w:t>Salvo licencia distinta, el acceso es personal y no transferible. Se prohíbe compartir credenciales, revender acceso, redistribuir archivos protegidos, copiar masivamente, eludir controles o utilizar el Curso de forma que infrinja propiedad intelectual.</w:t>
      </w:r>
    </w:p>
    <w:p>
      <w:pPr>
        <w:pStyle w:val="Heading1"/>
      </w:pPr>
      <w:r>
        <w:t>9. Certificados y resultados</w:t>
      </w:r>
    </w:p>
    <w:p>
      <w:r>
        <w:t>Una constancia o certificado emitido dentro de ILYROX no implica reconocimiento oficial, licencia profesional, acreditación académica ni autorización regulatoria, salvo que la oferta lo indique expresamente y exista sustento jurídico. No se garantizan ingresos, ventas, empleo, resultados de inversión ni resultados inmobiliarios.</w:t>
      </w:r>
    </w:p>
    <w:p>
      <w:pPr>
        <w:pStyle w:val="Heading1"/>
      </w:pPr>
      <w:r>
        <w:t>10. Quejas y soporte</w:t>
      </w:r>
    </w:p>
    <w:p>
      <w:r>
        <w:t>Para problemas técnicos, acceso, cobros o reclamaciones: ayuda@ilyrox.com | +52 81 3679 8047. Para dudas académicas, el comprador podrá utilizar el canal del Instructor cuando esté disponible. ILYROX puede solicitar información razonable para investigar la operación.</w:t>
      </w:r>
    </w:p>
    <w:p>
      <w:pPr>
        <w:pStyle w:val="Heading1"/>
      </w:pPr>
      <w:r>
        <w:t>11. Privacidad</w:t>
      </w:r>
    </w:p>
    <w:p>
      <w:r>
        <w:t>El tratamiento de datos se rige por la Política de Privacidad. Los datos del comprador sólo se compartirán con el Instructor en la medida necesaria para entregar o soportar el Curso, o para otras finalidades cuando exista base jurídica válida.</w:t>
      </w:r>
    </w:p>
    <w:p>
      <w:pPr>
        <w:pStyle w:val="Heading1"/>
      </w:pPr>
      <w:r>
        <w:t>12. Ley aplicable</w:t>
      </w:r>
    </w:p>
    <w:p>
      <w:r>
        <w:t>Estas Condiciones se rigen por las leyes mexicanas. Nada de lo aquí previsto reduce derechos irrenunciables de consumidores ni impide acudir a la autoridad competente.</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color w:val="505050"/>
              <w:sz w:val="15"/>
            </w:rPr>
            <w:t>ILYROX | ILYROX TECHNOLOGIES, S.A.P.I. DE C.V.</w:t>
          </w:r>
        </w:p>
      </w:tc>
      <w:tc>
        <w:tcPr>
          <w:tcW w:type="dxa" w:w="4680"/>
        </w:tcPr>
        <w:p>
          <w:pPr>
            <w:jc w:val="right"/>
          </w:pPr>
          <w:r>
            <w:rPr>
              <w:rFonts w:ascii="Arial" w:hAnsi="Arial"/>
              <w:color w:val="505050"/>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6"/>
      </w:rPr>
      <w:t>ILYROX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32323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