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Arial" w:hAnsi="Arial"/>
          <w:b/>
          <w:color w:val="111111"/>
          <w:sz w:val="36"/>
        </w:rPr>
        <w:t>POLÍTICA DE PROPIEDAD INTELECTUAL, AVISOS Y RETIRO</w:t>
      </w:r>
    </w:p>
    <w:p>
      <w:pPr>
        <w:jc w:val="left"/>
      </w:pPr>
      <w:r>
        <w:rPr>
          <w:rFonts w:ascii="Arial" w:hAnsi="Arial"/>
          <w:color w:val="505050"/>
          <w:sz w:val="21"/>
        </w:rPr>
        <w:t>Notice &amp; takedown, contra-aviso e infractores reincidentes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7056"/>
      </w:tblGrid>
      <w:tr>
        <w:tc>
          <w:tcPr>
            <w:tcW w:type="dxa" w:w="2592"/>
            <w:shd w:fill="F0F0F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6"/>
              </w:rPr>
              <w:t>Aplicación / servicio</w:t>
            </w:r>
          </w:p>
        </w:tc>
        <w:tc>
          <w:tcPr>
            <w:tcW w:type="dxa" w:w="7056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ILYROX</w:t>
            </w:r>
          </w:p>
        </w:tc>
      </w:tr>
      <w:tr>
        <w:tc>
          <w:tcPr>
            <w:tcW w:type="dxa" w:w="2592"/>
            <w:shd w:fill="F0F0F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6"/>
              </w:rPr>
              <w:t>Sitio web</w:t>
            </w:r>
          </w:p>
        </w:tc>
        <w:tc>
          <w:tcPr>
            <w:tcW w:type="dxa" w:w="7056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www.ilyrox.com</w:t>
            </w:r>
          </w:p>
        </w:tc>
      </w:tr>
      <w:tr>
        <w:tc>
          <w:tcPr>
            <w:tcW w:type="dxa" w:w="2592"/>
            <w:shd w:fill="F0F0F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6"/>
              </w:rPr>
              <w:t>Responsable / proveedor</w:t>
            </w:r>
          </w:p>
        </w:tc>
        <w:tc>
          <w:tcPr>
            <w:tcW w:type="dxa" w:w="7056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ILYROX TECHNOLOGIES, S.A.P.I. DE C.V.</w:t>
            </w:r>
          </w:p>
        </w:tc>
      </w:tr>
      <w:tr>
        <w:tc>
          <w:tcPr>
            <w:tcW w:type="dxa" w:w="2592"/>
            <w:shd w:fill="F0F0F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6"/>
              </w:rPr>
              <w:t>RFC</w:t>
            </w:r>
          </w:p>
        </w:tc>
        <w:tc>
          <w:tcPr>
            <w:tcW w:type="dxa" w:w="7056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ITE2608279M7</w:t>
            </w:r>
          </w:p>
        </w:tc>
      </w:tr>
      <w:tr>
        <w:tc>
          <w:tcPr>
            <w:tcW w:type="dxa" w:w="2592"/>
            <w:shd w:fill="F0F0F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6"/>
              </w:rPr>
              <w:t>Domicilio social</w:t>
            </w:r>
          </w:p>
        </w:tc>
        <w:tc>
          <w:tcPr>
            <w:tcW w:type="dxa" w:w="7056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Aguascalientes, Aguascalientes, México</w:t>
            </w:r>
          </w:p>
        </w:tc>
      </w:tr>
      <w:tr>
        <w:tc>
          <w:tcPr>
            <w:tcW w:type="dxa" w:w="2592"/>
            <w:shd w:fill="F0F0F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6"/>
              </w:rPr>
              <w:t>Domicilio para notificaciones</w:t>
            </w:r>
          </w:p>
        </w:tc>
        <w:tc>
          <w:tcPr>
            <w:tcW w:type="dxa" w:w="7056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Juan Morales 1319, Col. Hacienda los Morales, San Nicolás de los Garza, Nuevo León, México, C.P. 66495</w:t>
            </w:r>
          </w:p>
        </w:tc>
      </w:tr>
      <w:tr>
        <w:tc>
          <w:tcPr>
            <w:tcW w:type="dxa" w:w="2592"/>
            <w:shd w:fill="F0F0F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6"/>
              </w:rPr>
              <w:t>Teléfono empresarial</w:t>
            </w:r>
          </w:p>
        </w:tc>
        <w:tc>
          <w:tcPr>
            <w:tcW w:type="dxa" w:w="7056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+52 81 3679 8047</w:t>
            </w:r>
          </w:p>
        </w:tc>
      </w:tr>
      <w:tr>
        <w:tc>
          <w:tcPr>
            <w:tcW w:type="dxa" w:w="2592"/>
            <w:shd w:fill="F0F0F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6"/>
              </w:rPr>
              <w:t>Soporte / reclamaciones</w:t>
            </w:r>
          </w:p>
        </w:tc>
        <w:tc>
          <w:tcPr>
            <w:tcW w:type="dxa" w:w="7056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ayuda@ilyrox.com</w:t>
            </w:r>
          </w:p>
        </w:tc>
      </w:tr>
      <w:tr>
        <w:tc>
          <w:tcPr>
            <w:tcW w:type="dxa" w:w="2592"/>
            <w:shd w:fill="F0F0F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6"/>
              </w:rPr>
              <w:t>Privacidad</w:t>
            </w:r>
          </w:p>
        </w:tc>
        <w:tc>
          <w:tcPr>
            <w:tcW w:type="dxa" w:w="7056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privacidad@ilyrox.com</w:t>
            </w:r>
          </w:p>
        </w:tc>
      </w:tr>
      <w:tr>
        <w:tc>
          <w:tcPr>
            <w:tcW w:type="dxa" w:w="2592"/>
            <w:shd w:fill="F0F0F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6"/>
              </w:rPr>
              <w:t>Seguridad</w:t>
            </w:r>
          </w:p>
        </w:tc>
        <w:tc>
          <w:tcPr>
            <w:tcW w:type="dxa" w:w="7056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seguridad@ilyrox.com</w:t>
            </w:r>
          </w:p>
        </w:tc>
      </w:tr>
      <w:tr>
        <w:tc>
          <w:tcPr>
            <w:tcW w:type="dxa" w:w="2592"/>
            <w:shd w:fill="F0F0F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6"/>
              </w:rPr>
              <w:t>Versión</w:t>
            </w:r>
          </w:p>
        </w:tc>
        <w:tc>
          <w:tcPr>
            <w:tcW w:type="dxa" w:w="7056"/>
            <w:vAlign w:val="center"/>
          </w:tcPr>
          <w:p>
            <w:r>
              <w:t>v1.1</w:t>
            </w:r>
          </w:p>
        </w:tc>
      </w:tr>
      <w:tr>
        <w:tc>
          <w:tcPr>
            <w:tcW w:type="dxa" w:w="2592"/>
            <w:shd w:fill="F0F0F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6"/>
              </w:rPr>
              <w:t>Última actualización</w:t>
            </w:r>
          </w:p>
        </w:tc>
        <w:tc>
          <w:tcPr>
            <w:tcW w:type="dxa" w:w="7056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28 de septiembre de 2026</w:t>
            </w:r>
          </w:p>
        </w:tc>
      </w:tr>
      <w:tr>
        <w:tc>
          <w:tcPr>
            <w:tcW w:type="dxa" w:w="2592"/>
            <w:shd w:fill="F0F0F0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6"/>
              </w:rPr>
              <w:t>URL pública prevista</w:t>
            </w:r>
          </w:p>
        </w:tc>
        <w:tc>
          <w:tcPr>
            <w:tcW w:type="dxa" w:w="7056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https://www.ilyrox.com/legal/propiedad-intelectual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3F6F5"/>
          </w:tcPr>
          <w:p>
            <w:r>
              <w:rPr>
                <w:rFonts w:ascii="Arial" w:hAnsi="Arial"/>
                <w:b/>
                <w:color w:val="1F5C4E"/>
                <w:sz w:val="18"/>
              </w:rPr>
              <w:t>Objetivo</w:t>
              <w:br/>
            </w:r>
            <w:r>
              <w:rPr>
                <w:rFonts w:ascii="Arial" w:hAnsi="Arial"/>
                <w:sz w:val="18"/>
              </w:rPr>
              <w:t>Proteger derechos de autor, marcas e imagen sin convertir a ILYROX en árbitro definitivo de titularidad. ILYROX puede retirar o inhabilitar contenido de forma expedita ante avisos válidos y permite contra-aviso cuando corresponda.</w:t>
            </w:r>
          </w:p>
        </w:tc>
      </w:tr>
    </w:tbl>
    <w:p/>
    <w:p>
      <w:pPr>
        <w:pStyle w:val="Heading1"/>
      </w:pPr>
      <w:r>
        <w:t>1. Respeto a derechos de terceros</w:t>
      </w:r>
    </w:p>
    <w:p>
      <w:r>
        <w:t>Los Usuarios sólo pueden publicar material propio o respecto del cual tengan licencia, autorización o una base jurídica válida. Esto aplica a fotografías inmobiliarias, renders, videos, música, planos, logotipos, textos, plantillas, software y Cursos.</w:t>
      </w:r>
    </w:p>
    <w:p>
      <w:pPr>
        <w:pStyle w:val="Heading1"/>
      </w:pPr>
      <w:r>
        <w:t>2. Aviso de presunta infracción de derechos de autor</w:t>
      </w:r>
    </w:p>
    <w:p>
      <w:r>
        <w:t>El titular o representante puede presentar un aviso mediante el formulario de propiedad intelectual que ILYROX habilite y/o a ayuda@ilyrox.com, con información suficiente para localizar y evaluar el contenido. El aviso debe incluir, como mínimo:</w:t>
      </w:r>
    </w:p>
    <w:p>
      <w:pPr>
        <w:pStyle w:val="ListNumber"/>
      </w:pPr>
      <w:r>
        <w:t>Nombre del titular o representante y medio de contacto para recibir notificaciones.</w:t>
      </w:r>
    </w:p>
    <w:p>
      <w:pPr>
        <w:pStyle w:val="ListNumber"/>
      </w:pPr>
      <w:r>
        <w:t>Identificación del contenido u obra respecto del que se reclama derecho.</w:t>
      </w:r>
    </w:p>
    <w:p>
      <w:pPr>
        <w:pStyle w:val="ListNumber"/>
      </w:pPr>
      <w:r>
        <w:t>Manifestación del interés o derecho que sustenta la reclamación.</w:t>
      </w:r>
    </w:p>
    <w:p>
      <w:pPr>
        <w:pStyle w:val="ListNumber"/>
      </w:pPr>
      <w:r>
        <w:t>Ubicación electrónica, enlace, ID de publicación, Curso o información suficiente para localizar el material.</w:t>
      </w:r>
    </w:p>
    <w:p>
      <w:pPr>
        <w:pStyle w:val="ListNumber"/>
      </w:pPr>
      <w:r>
        <w:t>Declaración de buena fe sobre la exactitud de la reclamación y, cuando resulte razonable, evidencia de titularidad o representación.</w:t>
      </w:r>
    </w:p>
    <w:p>
      <w:pPr>
        <w:pStyle w:val="Heading1"/>
      </w:pPr>
      <w:r>
        <w:t>3. Medidas de ILYROX</w:t>
      </w:r>
    </w:p>
    <w:p>
      <w:r>
        <w:t>Al recibir un aviso suficientemente completo o una orden de autoridad, ILYROX podrá retirar, inhabilitar o limitar el acceso al material de forma expedita y razonable, preservar evidencia, notificar al Usuario afectado y adoptar medidas razonables para evitar recargas del mismo material infractor, conforme a la legislación aplicable.</w:t>
      </w:r>
    </w:p>
    <w:p>
      <w:pPr>
        <w:pStyle w:val="Heading1"/>
      </w:pPr>
      <w:r>
        <w:t>4. Contra-aviso</w:t>
      </w:r>
    </w:p>
    <w:p>
      <w:r>
        <w:t>El Usuario cuyo contenido haya sido retirado y considere que existe un error puede enviar un contra-aviso a ayuda@ilyrox.com identificando el material y demostrando la titularidad o autorización para ese uso específico, o justificando la limitación o excepción legal en que se apoya, además de proporcionar un medio de contacto. Si el contra-aviso cumple los requisitos aplicables, ILYROX informará de éste a la persona que presentó el aviso original. ILYROX habilitará nuevamente el contenido objeto del contra-aviso salvo que, dentro de un plazo no mayor a quince días hábiles contado desde que se informó del contra-aviso al reclamante original, éste comunique y acredite el inicio de un procedimiento judicial o administrativo, una denuncia penal o un mecanismo alternativo de solución de controversias aplicable.</w:t>
      </w:r>
    </w:p>
    <w:p>
      <w:pPr>
        <w:pStyle w:val="Heading1"/>
      </w:pPr>
      <w:r>
        <w:t>5. Marcas, identidad e imagen</w:t>
      </w:r>
    </w:p>
    <w:p>
      <w:r>
        <w:t>Las reclamaciones por uso indebido de marcas, nombres comerciales, imagen, identidad o suplantación pueden enviarse al mismo canal, identificando el derecho, uso reclamado y ubicación del contenido. ILYROX puede solicitar documentación adicional.</w:t>
      </w:r>
    </w:p>
    <w:p>
      <w:pPr>
        <w:pStyle w:val="Heading1"/>
      </w:pPr>
      <w:r>
        <w:t>6. Infractores reincidentes</w:t>
      </w:r>
    </w:p>
    <w:p>
      <w:r>
        <w:t>ILYROX mantiene una política para limitar o terminar cuentas que incurran repetidamente en infracción de propiedad intelectual, considerando naturaleza, gravedad, evidencia, reincidencia, respuestas y demás circunstancias. La reincidencia grave puede ocasionar terminación inmediata.</w:t>
      </w:r>
    </w:p>
    <w:p>
      <w:pPr>
        <w:pStyle w:val="Heading1"/>
      </w:pPr>
      <w:r>
        <w:t>7. Declaraciones falsas</w:t>
      </w:r>
    </w:p>
    <w:p>
      <w:r>
        <w:t>Quien presente avisos o contra-avisos es responsable de la información suministrada y de las consecuencias jurídicas de declaraciones falsas o engañosas. ILYROX podrá rechazar avisos abusivos o incompletos y conservar evidencia para defensa o cumplimiento.</w:t>
      </w:r>
    </w:p>
    <w:p>
      <w:pPr>
        <w:pStyle w:val="Heading1"/>
      </w:pPr>
      <w:r>
        <w:t>8. No determinación definitiva de derechos</w:t>
      </w:r>
    </w:p>
    <w:p>
      <w:r>
        <w:t>La actuación preventiva de ILYROX no constituye una sentencia sobre propiedad o infracción. Las partes conservan sus derechos para acudir a autoridades o tribunales competentes.</w:t>
      </w:r>
    </w:p>
    <w:p>
      <w:pPr>
        <w:pStyle w:val="Heading1"/>
      </w:pPr>
      <w:r>
        <w:t>9. Contacto</w:t>
      </w:r>
    </w:p>
    <w:p>
      <w:r>
        <w:t>Avisos: ayuda@ilyrox.com | +52 81 3679 8047. Domicilio para notificaciones: Juan Morales 1319, Col. Hacienda los Morales, San Nicolás de los Garza, Nuevo León, México, C.P. 66495.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79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auto" w:w="0"/>
      <w:jc w:val="center"/>
      <w:tblLook w:firstColumn="1" w:firstRow="1" w:lastColumn="0" w:lastRow="0" w:noHBand="0" w:noVBand="1" w:val="04A0"/>
    </w:tblPr>
    <w:tblGrid>
      <w:gridCol w:w="4680"/>
      <w:gridCol w:w="4680"/>
    </w:tblGrid>
    <w:tr>
      <w:tc>
        <w:tcPr>
          <w:tcW w:type="dxa" w:w="4680"/>
        </w:tcPr>
        <w:p>
          <w:r>
            <w:rPr>
              <w:rFonts w:ascii="Arial" w:hAnsi="Arial"/>
              <w:color w:val="505050"/>
              <w:sz w:val="15"/>
            </w:rPr>
            <w:t>ILYROX | ILYROX TECHNOLOGIES, S.A.P.I. DE C.V.</w:t>
          </w:r>
        </w:p>
      </w:tc>
      <w:tc>
        <w:tcPr>
          <w:tcW w:type="dxa" w:w="4680"/>
        </w:tcPr>
        <w:p>
          <w:pPr>
            <w:jc w:val="right"/>
          </w:pPr>
          <w:r>
            <w:rPr>
              <w:rFonts w:ascii="Arial" w:hAnsi="Arial"/>
              <w:color w:val="505050"/>
              <w:sz w:val="15"/>
            </w:rPr>
            <w:fldChar w:fldCharType="begin"/>
            <w:instrText xml:space="preserve"> PAGE </w:instrTex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b/>
        <w:color w:val="505050"/>
        <w:sz w:val="16"/>
      </w:rPr>
      <w:t>ILYROX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90" w:line="254" w:lineRule="auto"/>
    </w:pPr>
    <w:rPr>
      <w:rFonts w:ascii="Arial" w:hAnsi="Arial"/>
      <w:color w:val="111111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Arial" w:hAnsi="Arial"/>
      <w:b/>
      <w:bCs/>
      <w:color w:val="111111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Arial" w:hAnsi="Arial"/>
      <w:b/>
      <w:bCs/>
      <w:color w:val="323232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11111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/>
      <w:sz w:val="1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