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11111"/>
          <w:sz w:val="36"/>
        </w:rPr>
        <w:t>CHECKLIST DE IMPLEMENTACIÓN LEGAL PARA ANDRÉS</w:t>
      </w:r>
    </w:p>
    <w:p>
      <w:pPr>
        <w:jc w:val="left"/>
      </w:pPr>
      <w:r>
        <w:rPr>
          <w:rFonts w:ascii="Arial" w:hAnsi="Arial"/>
          <w:color w:val="505050"/>
          <w:sz w:val="21"/>
        </w:rPr>
        <w:t>Pantallas, checkboxes, logs, pagos, instructores, datos y moderación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Aplicación / servicio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ILYROX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Sitio web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www.ilyrox.com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Responsable / proveedor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ILYROX TECHNOLOGIES, S.A.P.I. DE C.V.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RFC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ITE2608279M7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Domicilio social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Aguascalientes, Aguascalientes, México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Domicilio para notificaciones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Juan Morales 1319, Col. Hacienda los Morales, San Nicolás de los Garza, Nuevo León, México, C.P. 66495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Teléfono empresarial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+52 81 3679 8047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Soporte / reclamaciones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ayuda@ilyrox.com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Privacidad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privacidad@ilyrox.com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Seguridad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seguridad@ilyrox.com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Versión</w:t>
            </w:r>
          </w:p>
        </w:tc>
        <w:tc>
          <w:tcPr>
            <w:tcW w:type="dxa" w:w="7056"/>
            <w:vAlign w:val="center"/>
          </w:tcPr>
          <w:p>
            <w:r>
              <w:t>v2.1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Última actualización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28 de septiembre de 2026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Clasificación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Documento interno - no publicar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5"/>
          </w:tcPr>
          <w:p>
            <w:r>
              <w:rPr>
                <w:rFonts w:ascii="Arial" w:hAnsi="Arial"/>
                <w:b/>
                <w:color w:val="1F5C4E"/>
                <w:sz w:val="18"/>
              </w:rPr>
              <w:t>No publicar</w:t>
              <w:br/>
            </w:r>
            <w:r>
              <w:rPr>
                <w:rFonts w:ascii="Arial" w:hAnsi="Arial"/>
                <w:sz w:val="18"/>
              </w:rPr>
              <w:t>Este documento es interno. La protección jurídica depende de que el producto haga lo que los documentos dicen. No debe existir una diferencia entre textos, base de datos, automatizaciones y comportamiento real de la App/Sitio.</w:t>
            </w:r>
          </w:p>
        </w:tc>
      </w:tr>
    </w:tbl>
    <w:p/>
    <w:p>
      <w:pPr>
        <w:pStyle w:val="Heading1"/>
      </w:pPr>
      <w:r>
        <w:t>1. Datos corporativos y contacto</w:t>
      </w:r>
    </w:p>
    <w:p>
      <w:pPr>
        <w:pStyle w:val="ListBullet"/>
      </w:pPr>
      <w:r>
        <w:t>Responsable/proveedor: ILYROX TECHNOLOGIES, S.A.P.I. DE C.V. RFC ITE2608279M7.</w:t>
      </w:r>
    </w:p>
    <w:p>
      <w:pPr>
        <w:pStyle w:val="ListBullet"/>
      </w:pPr>
      <w:r>
        <w:t>Domicilio social: Aguascalientes, Aguascalientes, México.</w:t>
      </w:r>
    </w:p>
    <w:p>
      <w:pPr>
        <w:pStyle w:val="ListBullet"/>
      </w:pPr>
      <w:r>
        <w:t>Domicilio para notificaciones: Juan Morales 1319, Col. Hacienda los Morales, San Nicolás de los Garza, Nuevo León, México, C.P. 66495.</w:t>
      </w:r>
    </w:p>
    <w:p>
      <w:pPr>
        <w:pStyle w:val="ListBullet"/>
      </w:pPr>
      <w:r>
        <w:t>Teléfono empresarial de soporte/reclamaciones: +52 81 3679 8047.</w:t>
      </w:r>
    </w:p>
    <w:p>
      <w:pPr>
        <w:pStyle w:val="ListBullet"/>
      </w:pPr>
      <w:r>
        <w:t>Correos: ayuda@ilyrox.com | privacidad@ilyrox.com | seguridad@ilyrox.com.</w:t>
      </w:r>
    </w:p>
    <w:p>
      <w:pPr>
        <w:pStyle w:val="Heading1"/>
      </w:pPr>
      <w:r>
        <w:t>2. Onboarding general</w:t>
      </w:r>
    </w:p>
    <w:p>
      <w:pPr>
        <w:pStyle w:val="ListNumber"/>
      </w:pPr>
      <w:r>
        <w:t>Checkbox obligatorio no pre-marcado: “Acepto los Términos y Condiciones de ILYROX”.</w:t>
      </w:r>
    </w:p>
    <w:p>
      <w:pPr>
        <w:pStyle w:val="ListNumber"/>
      </w:pPr>
      <w:r>
        <w:t>Checkbox obligatorio: “He leído la Política de Privacidad”.</w:t>
      </w:r>
    </w:p>
    <w:p>
      <w:pPr>
        <w:pStyle w:val="ListNumber"/>
      </w:pPr>
      <w:r>
        <w:t>Checkbox obligatorio: “Confirmo que tengo 18 años o más”.</w:t>
      </w:r>
    </w:p>
    <w:p>
      <w:pPr>
        <w:pStyle w:val="ListNumber"/>
      </w:pPr>
      <w:r>
        <w:t>Confirmación clara de qué información del perfil y Contenido será pública.</w:t>
      </w:r>
    </w:p>
    <w:p>
      <w:pPr>
        <w:pStyle w:val="ListNumber"/>
      </w:pPr>
      <w:r>
        <w:t>Marketing opcional separado; no bloquear registro si se rechaza.</w:t>
      </w:r>
    </w:p>
    <w:p>
      <w:pPr>
        <w:pStyle w:val="ListNumber"/>
      </w:pPr>
      <w:r>
        <w:t>WhatsApp separado cuando se enviarán mensajes posteriores que requieran consentimiento.</w:t>
      </w:r>
    </w:p>
    <w:p>
      <w:pPr>
        <w:pStyle w:val="Heading1"/>
      </w:pPr>
      <w:r>
        <w:t>Aviso de Privacidad Simplificado en medios electrónicos</w:t>
      </w:r>
    </w:p>
    <w:p>
      <w:pPr/>
      <w:r>
        <w:t>Antes o al momento de recabar datos en onboarding, formularios de Leads, alta de Instructor, checkout y otros medios electrónicos, mostrar la modalidad simplificada correspondiente con: identidad/domicilio del responsable; categorías de datos; finalidades distinguiendo las que requieren consentimiento; opciones para limitar uso/divulgación; y enlace visible al Aviso Integral. Usar el documento 11 como base y adaptar el bloque al formulario concreto.</w:t>
      </w:r>
    </w:p>
    <w:p>
      <w:pPr>
        <w:pStyle w:val="Heading1"/>
      </w:pPr>
      <w:r>
        <w:t>3. Log probatorio</w:t>
      </w:r>
    </w:p>
    <w:p>
      <w:pPr>
        <w:pStyle w:val="ListBullet"/>
      </w:pPr>
      <w:r>
        <w:t>user_id / lead_id / instructor_id</w:t>
      </w:r>
    </w:p>
    <w:p>
      <w:pPr>
        <w:pStyle w:val="ListBullet"/>
      </w:pPr>
      <w:r>
        <w:t>tipo de consentimiento o contrato</w:t>
      </w:r>
    </w:p>
    <w:p>
      <w:pPr>
        <w:pStyle w:val="ListBullet"/>
      </w:pPr>
      <w:r>
        <w:t>versión exacta y hash del texto aceptado</w:t>
      </w:r>
    </w:p>
    <w:p>
      <w:pPr>
        <w:pStyle w:val="ListBullet"/>
      </w:pPr>
      <w:r>
        <w:t>fecha/hora UTC</w:t>
      </w:r>
    </w:p>
    <w:p>
      <w:pPr>
        <w:pStyle w:val="ListBullet"/>
      </w:pPr>
      <w:r>
        <w:t>aceptado/rechazado</w:t>
      </w:r>
    </w:p>
    <w:p>
      <w:pPr>
        <w:pStyle w:val="ListBullet"/>
      </w:pPr>
      <w:r>
        <w:t>IP o identificador técnico proporcional</w:t>
      </w:r>
    </w:p>
    <w:p>
      <w:pPr>
        <w:pStyle w:val="ListBullet"/>
      </w:pPr>
      <w:r>
        <w:t>origen/pantalla/campaña</w:t>
      </w:r>
    </w:p>
    <w:p>
      <w:pPr>
        <w:pStyle w:val="ListBullet"/>
      </w:pPr>
      <w:r>
        <w:t>dato de contacto asociado</w:t>
      </w:r>
    </w:p>
    <w:p>
      <w:pPr>
        <w:pStyle w:val="ListBullet"/>
      </w:pPr>
      <w:r>
        <w:t>fecha y método de revocación</w:t>
      </w:r>
    </w:p>
    <w:p>
      <w:pPr>
        <w:pStyle w:val="ListBullet"/>
      </w:pPr>
      <w:r>
        <w:t>para compras: order_id, precio, moneda, producto, Instructor, versión de condiciones</w:t>
      </w:r>
    </w:p>
    <w:p>
      <w:pPr>
        <w:pStyle w:val="ListBullet"/>
      </w:pPr>
      <w:r>
        <w:t>para Instructor: versión de Contrato + Anexo Económico</w:t>
      </w:r>
    </w:p>
    <w:p>
      <w:pPr>
        <w:pStyle w:val="Heading1"/>
      </w:pPr>
      <w:r>
        <w:t>4. Formularios de Leads y transferencias</w:t>
      </w:r>
    </w:p>
    <w:p>
      <w:r>
        <w:t>Separar la autorización para atender una solicitud de la autorización para promociones. Si los datos se enviarán a varios Profesionales, la interfaz debe decir “uno o más”. Cuando la transferencia requiera consentimiento, mostrar una elección separada “ACEPTO / NO ACEPTO” y registrar la elección, versión, fecha/hora y finalidad. No agregar al Lead automáticamente a campañas generales.</w:t>
      </w:r>
    </w:p>
    <w:p>
      <w:pPr>
        <w:pStyle w:val="Heading1"/>
      </w:pPr>
      <w:r>
        <w:t>5. CRM y DPA</w:t>
      </w:r>
    </w:p>
    <w:p>
      <w:r>
        <w:t>Al habilitar CRM para Profesionales, requerir aceptación del Acuerdo de Tratamiento de Datos o incorporarlo por referencia contractual clara. Implementar controles de acceso, exportación, eliminación, retención y subencargados. Los datos del CRM no pueden alimentar campañas de ILYROX sin autorización independiente del titular.</w:t>
      </w:r>
    </w:p>
    <w:p>
      <w:pPr>
        <w:pStyle w:val="Heading1"/>
      </w:pPr>
      <w:r>
        <w:t>6. Alta de Instructor - clickwrap obligatorio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5"/>
          </w:tcPr>
          <w:p>
            <w:r>
              <w:rPr>
                <w:rFonts w:ascii="Arial" w:hAnsi="Arial"/>
                <w:b/>
                <w:color w:val="1F5C4E"/>
                <w:sz w:val="18"/>
              </w:rPr>
              <w:t>Pantalla requerida</w:t>
              <w:br/>
            </w:r>
            <w:r>
              <w:rPr>
                <w:rFonts w:ascii="Arial" w:hAnsi="Arial"/>
                <w:sz w:val="18"/>
              </w:rPr>
              <w:t>Mostrar enlace completo al Contrato de Instructor y al Anexo Económico. Checkbox NO pre-marcado: “[ ] He leído y acepto el Contrato de Instructor / Creador ILYROX vigente y su Anexo Económico. Declaro que tengo facultades para obligarme y autorizo la celebración por medios electrónicos.” Botón: “ACTIVAR PERFIL DE INSTRUCTOR”. Sin aceptación no se habilita publicación/venta de Cursos.</w:t>
            </w:r>
          </w:p>
        </w:tc>
      </w:tr>
    </w:tbl>
    <w:p/>
    <w:p>
      <w:r>
        <w:t>Guardar instructor_id, versión, Anexo, porcentaje, fecha/hora, IP/identificador técnico y copia/hash de los textos. Si cambia materialmente el porcentaje o el contrato, exigir re-aceptación antes de aplicar el cambio.</w:t>
      </w:r>
    </w:p>
    <w:p>
      <w:pPr>
        <w:pStyle w:val="Heading1"/>
      </w:pPr>
      <w:r>
        <w:t>7. Datos del Instructor</w:t>
      </w:r>
    </w:p>
    <w:p>
      <w:pPr>
        <w:pStyle w:val="ListBullet"/>
      </w:pPr>
      <w:r>
        <w:t>Nombre/razón social</w:t>
      </w:r>
    </w:p>
    <w:p>
      <w:pPr>
        <w:pStyle w:val="ListBullet"/>
      </w:pPr>
      <w:r>
        <w:t>RFC y constancia fiscal</w:t>
      </w:r>
    </w:p>
    <w:p>
      <w:pPr>
        <w:pStyle w:val="ListBullet"/>
      </w:pPr>
      <w:r>
        <w:t>país y domicilio fiscal cuando se requiera</w:t>
      </w:r>
    </w:p>
    <w:p>
      <w:pPr>
        <w:pStyle w:val="ListBullet"/>
      </w:pPr>
      <w:r>
        <w:t>cuenta bancaria o método de pago validado</w:t>
      </w:r>
    </w:p>
    <w:p>
      <w:pPr>
        <w:pStyle w:val="ListBullet"/>
      </w:pPr>
      <w:r>
        <w:t>contacto de soporte</w:t>
      </w:r>
    </w:p>
    <w:p>
      <w:pPr>
        <w:pStyle w:val="ListBullet"/>
      </w:pPr>
      <w:r>
        <w:t>aceptación de políticas</w:t>
      </w:r>
    </w:p>
    <w:p>
      <w:pPr>
        <w:pStyle w:val="ListBullet"/>
      </w:pPr>
      <w:r>
        <w:t>documentos de identidad/representación cuando aplique</w:t>
      </w:r>
    </w:p>
    <w:p>
      <w:pPr>
        <w:pStyle w:val="Heading1"/>
      </w:pPr>
      <w:r>
        <w:t>8. Checkout de Cursos</w:t>
      </w:r>
    </w:p>
    <w:p>
      <w:r>
        <w:t>Antes de pagar mostrar: nombre del Curso, Instructor/proveedor, contenido, precio total, impuestos/cargos, vigencia, modalidad, política de reembolso, soporte, y si es suscripción, periodicidad, monto y fecha de cobro. Guardar aceptación y recibo/transacción.</w:t>
      </w:r>
    </w:p>
    <w:p>
      <w:pPr>
        <w:pStyle w:val="Heading1"/>
      </w:pPr>
      <w:r>
        <w:t>9. Suscripciones</w:t>
      </w:r>
    </w:p>
    <w:p>
      <w:pPr>
        <w:pStyle w:val="ListBullet"/>
      </w:pPr>
      <w:r>
        <w:t>Consentimiento expreso e informado para cobro recurrente.</w:t>
      </w:r>
    </w:p>
    <w:p>
      <w:pPr>
        <w:pStyle w:val="ListBullet"/>
      </w:pPr>
      <w:r>
        <w:t>Mostrar periodicidad, monto y fecha de cobro antes de contratar.</w:t>
      </w:r>
    </w:p>
    <w:p>
      <w:pPr>
        <w:pStyle w:val="ListBullet"/>
      </w:pPr>
      <w:r>
        <w:t>Aviso de renovación automática con al menos 5 días naturales de anticipación.</w:t>
      </w:r>
    </w:p>
    <w:p>
      <w:pPr>
        <w:pStyle w:val="ListBullet"/>
      </w:pPr>
      <w:r>
        <w:t>Permitir cancelar la renovación sin penalización.</w:t>
      </w:r>
    </w:p>
    <w:p>
      <w:pPr>
        <w:pStyle w:val="ListBullet"/>
      </w:pPr>
      <w:r>
        <w:t>Implementar mecanismo de cancelación inmediata del servicio, suscripción o membresía; si la tienda/procesador controla la suscripción, enlazar o conducir al mecanismo efectivo correspondiente.</w:t>
      </w:r>
    </w:p>
    <w:p>
      <w:pPr>
        <w:pStyle w:val="ListBullet"/>
      </w:pPr>
      <w:r>
        <w:t>Guardar fecha, canal y resultado de cada cancelación.</w:t>
      </w:r>
    </w:p>
    <w:p>
      <w:pPr>
        <w:pStyle w:val="Heading1"/>
      </w:pPr>
      <w:r>
        <w:t>10. Liquidaciones a Instructores</w:t>
      </w:r>
    </w:p>
    <w:p>
      <w:r>
        <w:t>Implementar ledger por Curso: bruto cobrado, impuestos, store/payment fees, descuentos, afiliación, reembolsos, contracargos, reservas, neto distribuible, 80% Instructor y 20% ILYROX por defecto, más impuestos aplicables a la comisión. Permitir condiciones distintas sólo con aceptación electrónica identificable. Mantener historial inmutable de ajustes.</w:t>
      </w:r>
    </w:p>
    <w:p>
      <w:pPr>
        <w:pStyle w:val="Heading1"/>
      </w:pPr>
      <w:r>
        <w:t>11. Fiscal antes de activar ventas</w:t>
      </w:r>
    </w:p>
    <w:p>
      <w:r>
        <w:t>No lanzar monetización hasta que contador/asesor fiscal defina por escrito: quién emite CFDI al comprador en cada canal, cómo factura ILYROX su comisión, IVA, retenciones, pagos a personas físicas/morales, efectos de App Store/Google Play y conciliación. El contrato permite adaptación, pero la implementación fiscal debe coincidir con la operación real.</w:t>
      </w:r>
    </w:p>
    <w:p>
      <w:pPr>
        <w:pStyle w:val="Heading1"/>
      </w:pPr>
      <w:r>
        <w:t>12. Reembolsos, chargebacks y reservas</w:t>
      </w:r>
    </w:p>
    <w:p>
      <w:r>
        <w:t>Permitir reembolso conforme a condiciones y ley; reflejarlo en el saldo del Instructor. Registrar motivo, evidencia, monto y responsable. Implementar reserva de riesgo configurable y no liberar importes comprometidos por disputas abiertas. Al cerrar una cuenta, conservar saldo reservado según el Contrato.</w:t>
      </w:r>
    </w:p>
    <w:p>
      <w:pPr>
        <w:pStyle w:val="Heading1"/>
      </w:pPr>
      <w:r>
        <w:t>13. Propiedad intelectual / notice &amp; takedown</w:t>
      </w:r>
    </w:p>
    <w:p>
      <w:pPr>
        <w:pStyle w:val="ListBullet"/>
      </w:pPr>
      <w:r>
        <w:t>Página pública /legal/propiedad-intelectual.</w:t>
      </w:r>
    </w:p>
    <w:p>
      <w:pPr>
        <w:pStyle w:val="ListBullet"/>
      </w:pPr>
      <w:r>
        <w:t>Formulario o correo de aviso con campos mínimos.</w:t>
      </w:r>
    </w:p>
    <w:p>
      <w:pPr>
        <w:pStyle w:val="ListBullet"/>
      </w:pPr>
      <w:r>
        <w:t>Retiro/inhabilitación y notificación al Usuario.</w:t>
      </w:r>
    </w:p>
    <w:p>
      <w:pPr>
        <w:pStyle w:val="ListBullet"/>
      </w:pPr>
      <w:r>
        <w:t>Contra-aviso.</w:t>
      </w:r>
    </w:p>
    <w:p>
      <w:pPr/>
      <w:r>
        <w:t>Si el contra-aviso es suficiente: notificar al reclamante original, registrar la fecha exacta de notificación y restaurar/habilitar el contenido salvo que, dentro de un máximo de 15 días hábiles desde esa notificación, el reclamante acredite haber iniciado procedimiento judicial/administrativo, denuncia penal o mecanismo alternativo aplicable.</w:t>
      </w:r>
    </w:p>
    <w:p>
      <w:pPr>
        <w:pStyle w:val="ListBullet"/>
      </w:pPr>
      <w:r>
        <w:t>Registro de avisos, contenido y reincidencias.</w:t>
      </w:r>
    </w:p>
    <w:p>
      <w:pPr>
        <w:pStyle w:val="ListBullet"/>
      </w:pPr>
      <w:r>
        <w:t>Medidas razonables para evitar recarga del mismo material cuando proceda.</w:t>
      </w:r>
    </w:p>
    <w:p>
      <w:pPr>
        <w:pStyle w:val="ListBullet"/>
      </w:pPr>
      <w:r>
        <w:t>Terminación de infractores reincidentes.</w:t>
      </w:r>
    </w:p>
    <w:p>
      <w:pPr>
        <w:pStyle w:val="Heading1"/>
      </w:pPr>
      <w:r>
        <w:t>14. IA autónoma</w:t>
      </w:r>
    </w:p>
    <w:p>
      <w:pPr>
        <w:pStyle w:val="ListBullet"/>
      </w:pPr>
      <w:r>
        <w:t>Mostrar qué hará antes de activar: responder Leads, enviar seguimiento, proponer citas, etc.</w:t>
      </w:r>
    </w:p>
    <w:p>
      <w:pPr>
        <w:pStyle w:val="ListBullet"/>
      </w:pPr>
      <w:r>
        <w:t>Activación expresa por bloques de acciones de riesgo.</w:t>
      </w:r>
    </w:p>
    <w:p>
      <w:pPr>
        <w:pStyle w:val="ListBullet"/>
      </w:pPr>
      <w:r>
        <w:t>Pausa/desactivación visible.</w:t>
      </w:r>
    </w:p>
    <w:p>
      <w:pPr>
        <w:pStyle w:val="ListBullet"/>
      </w:pPr>
      <w:r>
        <w:t>Logs de acción, dato usado, destinatario, canal, hora y resultado.</w:t>
      </w:r>
    </w:p>
    <w:p>
      <w:pPr>
        <w:pStyle w:val="ListBullet"/>
      </w:pPr>
      <w:r>
        <w:t>Nunca firmar contratos, aceptar ofertas, disponer dinero o reconocer adeudos sin módulo jurídico y autorización específica.</w:t>
      </w:r>
    </w:p>
    <w:p>
      <w:pPr>
        <w:pStyle w:val="ListBullet"/>
      </w:pPr>
      <w:r>
        <w:t>Consultar opt-out y lista central de bajas antes de cada envío autónomo.</w:t>
      </w:r>
    </w:p>
    <w:p>
      <w:pPr>
        <w:pStyle w:val="Heading1"/>
      </w:pPr>
      <w:r>
        <w:t>15. Marketing, WhatsApp y lista de bajas</w:t>
      </w:r>
    </w:p>
    <w:p>
      <w:r>
        <w:t>Centralizar preferencias y suppressions. Una persona dada de baja no puede volver a entrar por importación, automatización, curso o CRM sin nueva base jurídica. Mantener evidencias de consentimiento y revocación por canal.</w:t>
      </w:r>
    </w:p>
    <w:p>
      <w:pPr>
        <w:pStyle w:val="Heading1"/>
      </w:pPr>
      <w:r>
        <w:t>16. Moderación, UGC y seguridad infantil</w:t>
      </w:r>
    </w:p>
    <w:p>
      <w:pPr>
        <w:pStyle w:val="ListBullet"/>
      </w:pPr>
      <w:r>
        <w:t>Reportar usuario, publicación y chat deben funcionar.</w:t>
      </w:r>
    </w:p>
    <w:p>
      <w:pPr>
        <w:pStyle w:val="ListBullet"/>
      </w:pPr>
      <w:r>
        <w:t>Bloquear debe impedir interacción futura razonablemente.</w:t>
      </w:r>
    </w:p>
    <w:p>
      <w:pPr>
        <w:pStyle w:val="ListBullet"/>
      </w:pPr>
      <w:r>
        <w:t>Cola prioritaria para explotación infantil/CSAM.</w:t>
      </w:r>
    </w:p>
    <w:p>
      <w:pPr>
        <w:pStyle w:val="ListBullet"/>
      </w:pPr>
      <w:r>
        <w:t>Contacto de seguridad activo en seguridad@ilyrox.com.</w:t>
      </w:r>
    </w:p>
    <w:p>
      <w:pPr/>
      <w:r>
        <w:t>Designar internamente a una persona responsable de seguridad infantil y registrar sus datos donde Google Play Console lo requiera. El correo público puede seguir siendo seguridad@ilyrox.com, pero la designación interna no debe quedar vacía antes de publicar/actualizar la app.</w:t>
      </w:r>
    </w:p>
    <w:p>
      <w:pPr>
        <w:pStyle w:val="ListBullet"/>
      </w:pPr>
      <w:r>
        <w:t>No prometer tiempos de respuesta que el equipo no pueda sostener.</w:t>
      </w:r>
    </w:p>
    <w:p>
      <w:pPr>
        <w:pStyle w:val="Heading1"/>
      </w:pPr>
      <w:r>
        <w:t>17. App Store / Google Play</w:t>
      </w:r>
    </w:p>
    <w:p>
      <w:r>
        <w:t>Revisar reglas vigentes de pagos digitales, creator content, UGC, seguridad infantil, privacidad y tracking antes de cada lanzamiento que cambie Cursos, pagos, IA o SDKs. Mantener App Privacy/Data Safety alineados con el producto real.</w:t>
      </w:r>
    </w:p>
    <w:p>
      <w:pPr>
        <w:pStyle w:val="Heading1"/>
      </w:pPr>
      <w:r>
        <w:t>18. Publicación pública</w:t>
      </w:r>
    </w:p>
    <w:p>
      <w:pPr>
        <w:pStyle w:val="ListBullet"/>
      </w:pPr>
      <w:r>
        <w:t>/legal/terminos</w:t>
      </w:r>
    </w:p>
    <w:p>
      <w:pPr>
        <w:pStyle w:val="ListBullet"/>
      </w:pPr>
      <w:r>
        <w:t>/legal/privacidad</w:t>
      </w:r>
    </w:p>
    <w:p>
      <w:pPr/>
      <w:r>
        <w:t>/legal/privacidad-simplificado (o bloque equivalente mostrado inline en cada formulario electrónico)</w:t>
      </w:r>
    </w:p>
    <w:p>
      <w:pPr>
        <w:pStyle w:val="ListBullet"/>
      </w:pPr>
      <w:r>
        <w:t>/legal/comunidad</w:t>
      </w:r>
    </w:p>
    <w:p>
      <w:pPr>
        <w:pStyle w:val="ListBullet"/>
      </w:pPr>
      <w:r>
        <w:t>/legal/seguridad-infantil</w:t>
      </w:r>
    </w:p>
    <w:p>
      <w:pPr>
        <w:pStyle w:val="ListBullet"/>
      </w:pPr>
      <w:r>
        <w:t>/legal/comunicaciones</w:t>
      </w:r>
    </w:p>
    <w:p>
      <w:pPr>
        <w:pStyle w:val="ListBullet"/>
      </w:pPr>
      <w:r>
        <w:t>/legal/compras</w:t>
      </w:r>
    </w:p>
    <w:p>
      <w:pPr>
        <w:pStyle w:val="ListBullet"/>
      </w:pPr>
      <w:r>
        <w:t>/legal/instructores</w:t>
      </w:r>
    </w:p>
    <w:p>
      <w:pPr>
        <w:pStyle w:val="ListBullet"/>
      </w:pPr>
      <w:r>
        <w:t>/legal/tratamiento-datos-profesionales</w:t>
      </w:r>
    </w:p>
    <w:p>
      <w:pPr>
        <w:pStyle w:val="ListBullet"/>
      </w:pPr>
      <w:r>
        <w:t>/legal/propiedad-intelectual</w:t>
      </w:r>
    </w:p>
    <w:p>
      <w:r>
        <w:t>Todos deben ser accesibles sin iniciar sesión, mostrar versión/fecha y enlazarse desde las pantallas pertinentes. El Contrato de Instructor puede ser público, pero su aceptación debe estar ligada al onboarding del Instructor.</w:t>
      </w:r>
    </w:p>
    <w:p>
      <w:pPr>
        <w:pStyle w:val="Heading1"/>
      </w:pPr>
      <w:r>
        <w:t>19. Conservación de evidencia</w:t>
      </w:r>
    </w:p>
    <w:p>
      <w:r>
        <w:t>Conservar versiones históricas de documentos y consentimientos. Para operaciones o contratos relevantes, evaluar mecanismos de integridad, sellos de tiempo y conservación de mensajes de datos. No sobrescribir versiones aceptadas por usuarios existentes.</w:t>
      </w:r>
    </w:p>
    <w:p>
      <w:pPr>
        <w:pStyle w:val="Heading1"/>
      </w:pPr>
      <w:r>
        <w:t>20. Control de cambios</w:t>
      </w:r>
    </w:p>
    <w:p>
      <w:r>
        <w:t>Toda nueva función que agregue pagos, crédito, datos financieros, geolocalización, IA autónoma, nuevos proveedores, nuevas transferencias de Leads, nuevas categorías de marketing, afiliados o cambios de monetización debe activar una revisión legal y de privacidad antes de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rFonts w:ascii="Arial" w:hAnsi="Arial"/>
              <w:color w:val="505050"/>
              <w:sz w:val="15"/>
            </w:rPr>
            <w:t>ILYROX | ILYROX TECHNOLOGIES, S.A.P.I. DE C.V.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rial" w:hAnsi="Arial"/>
              <w:color w:val="505050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05050"/>
        <w:sz w:val="16"/>
      </w:rPr>
      <w:t>ILYROX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rial" w:hAnsi="Arial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32323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