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/>
        <w:spacing w:before="0" w:after="0"/>
        <w:ind w:firstLine="0"/>
        <w:jc w:val="center"/>
        <w:rPr>
          <w:rFonts w:hint="default"/>
          <w:lang w:val="ru-RU"/>
        </w:rPr>
      </w:pPr>
      <w:r>
        <w:rPr>
          <w:rtl w:val="0"/>
          <w:lang w:val="ru-RU"/>
        </w:rPr>
        <w:t>Д</w:t>
      </w:r>
      <w:r>
        <w:rPr>
          <w:rtl w:val="0"/>
        </w:rPr>
        <w:t xml:space="preserve">. </w:t>
      </w:r>
      <w:r>
        <w:rPr>
          <w:rtl w:val="0"/>
          <w:lang w:val="ru-RU"/>
        </w:rPr>
        <w:t>М</w:t>
      </w:r>
      <w:r>
        <w:rPr>
          <w:rtl w:val="0"/>
        </w:rPr>
        <w:t xml:space="preserve">. </w:t>
      </w:r>
      <w:r>
        <w:rPr>
          <w:rtl w:val="0"/>
          <w:lang w:val="ru-RU"/>
        </w:rPr>
        <w:t>Колесников</w:t>
      </w:r>
    </w:p>
    <w:p w14:paraId="00000002">
      <w:pPr>
        <w:keepNext/>
        <w:spacing w:before="0" w:after="0"/>
        <w:ind w:firstLine="0"/>
        <w:jc w:val="center"/>
      </w:pPr>
      <w:r>
        <w:rPr>
          <w:rtl w:val="0"/>
        </w:rPr>
        <w:t>Научный руководитель канд. техн. наук, доцент И. Е. Попов</w:t>
      </w:r>
    </w:p>
    <w:p w14:paraId="00000003">
      <w:pPr>
        <w:keepNext/>
        <w:spacing w:before="0" w:after="0"/>
        <w:ind w:firstLine="0"/>
        <w:jc w:val="center"/>
      </w:pPr>
      <w:r>
        <w:rPr>
          <w:rtl w:val="0"/>
        </w:rPr>
        <w:t>Старший научный руководитель д-р физ.-мат. наук,</w:t>
      </w:r>
      <w:r>
        <w:rPr>
          <w:rtl w:val="0"/>
        </w:rPr>
        <w:br w:type="textWrapping"/>
      </w:r>
      <w:r>
        <w:rPr>
          <w:rtl w:val="0"/>
        </w:rPr>
        <w:t>профессор А. Г. Лосев</w:t>
      </w:r>
    </w:p>
    <w:p w14:paraId="00000004">
      <w:pPr>
        <w:pStyle w:val="4"/>
        <w:keepNext/>
        <w:rPr>
          <w:rFonts w:hint="default"/>
          <w:lang w:val="ru-RU"/>
        </w:rPr>
      </w:pPr>
      <w:r>
        <w:rPr>
          <w:rtl w:val="0"/>
          <w:lang w:val="ru-RU"/>
        </w:rPr>
        <w:t>ПОСТРОЕНИЕ</w:t>
      </w:r>
      <w:r>
        <w:rPr>
          <w:rFonts w:hint="default"/>
          <w:rtl w:val="0"/>
          <w:lang w:val="ru-RU"/>
        </w:rPr>
        <w:t xml:space="preserve"> ТЕПЛОВЫХ ПОЛЕЙ С ПОМОЩЬЮ ЭЛЛИПСОВ ВДОЛЬ ДУГИ</w:t>
      </w:r>
    </w:p>
    <w:p w14:paraId="75C00F85">
      <w:pPr>
        <w:keepNext/>
        <w:spacing w:before="0" w:after="200"/>
        <w:ind w:firstLine="0"/>
        <w:jc w:val="center"/>
        <w:rPr>
          <w:rtl w:val="0"/>
        </w:rPr>
      </w:pPr>
      <w:r>
        <w:rPr>
          <w:rtl w:val="0"/>
        </w:rPr>
        <w:t>ФГАОУ ВО «Волгоградский государственный университет»</w:t>
      </w:r>
    </w:p>
    <w:p w14:paraId="00000006">
      <w:pPr>
        <w:keepNext w:val="0"/>
        <w:spacing w:before="0" w:after="120"/>
        <w:ind w:firstLine="720"/>
        <w:jc w:val="left"/>
        <w:rPr>
          <w:rFonts w:hint="default"/>
          <w:lang w:val="ru-RU"/>
        </w:rPr>
      </w:pPr>
      <w:r>
        <w:rPr>
          <w:rtl w:val="0"/>
        </w:rPr>
        <w:t>Аннотация</w:t>
      </w:r>
      <w:bookmarkStart w:id="0" w:name="_GoBack"/>
      <w:bookmarkEnd w:id="0"/>
    </w:p>
    <w:p w14:paraId="569D4512">
      <w:pPr>
        <w:keepNext w:val="0"/>
        <w:spacing w:before="0" w:after="120"/>
        <w:ind w:firstLine="720"/>
        <w:rPr>
          <w:rtl w:val="0"/>
        </w:rPr>
      </w:pPr>
      <w:r>
        <w:rPr>
          <w:rtl w:val="0"/>
        </w:rPr>
        <w:t>В задачах анализа температуры молочной железы исходные данные ограничены небольшим числом измерений, а отдельные виды температурных отклонений представлены редко. Рассматривается способ получения дополнительных данных с помощью математической модели</w:t>
      </w:r>
      <w:r>
        <w:rPr>
          <w:rFonts w:hint="default"/>
          <w:rtl w:val="0"/>
          <w:lang w:val="ru-RU"/>
        </w:rPr>
        <w:t xml:space="preserve">, где основная формула модели описывает фигуру, напоминающую эллипс, начерченный вдоль дуги </w:t>
      </w:r>
      <w:r>
        <w:rPr>
          <w:rtl w:val="0"/>
        </w:rPr>
        <w:t xml:space="preserve">. Модель приближенно описывает измеренные температуры через общий фон и три локальные составляющие. Метод проверен на </w:t>
      </w:r>
      <w:r>
        <w:rPr>
          <w:rFonts w:hint="default"/>
          <w:rtl w:val="0"/>
          <w:lang w:val="ru-RU"/>
        </w:rPr>
        <w:t>9162</w:t>
      </w:r>
      <w:r>
        <w:rPr>
          <w:rtl w:val="0"/>
        </w:rPr>
        <w:t xml:space="preserve"> записях обследований. Медианная погрешность в измерительных точках составила 0,1</w:t>
      </w:r>
      <w:r>
        <w:rPr>
          <w:rFonts w:hint="default"/>
          <w:rtl w:val="0"/>
        </w:rPr>
        <w:t>616</w:t>
      </w:r>
      <w:r>
        <w:rPr>
          <w:rtl w:val="0"/>
        </w:rPr>
        <w:t xml:space="preserve"> °C для глубинных</w:t>
      </w:r>
      <w:r>
        <w:rPr>
          <w:rFonts w:hint="default"/>
          <w:rtl w:val="0"/>
          <w:lang w:val="ru-RU"/>
        </w:rPr>
        <w:t xml:space="preserve"> и</w:t>
      </w:r>
      <w:r>
        <w:rPr>
          <w:rtl w:val="0"/>
        </w:rPr>
        <w:t xml:space="preserve"> кожных температур. Получены </w:t>
      </w:r>
      <w:r>
        <w:rPr>
          <w:rFonts w:hint="default"/>
          <w:rtl w:val="0"/>
          <w:lang w:val="ru-RU"/>
        </w:rPr>
        <w:t>9162</w:t>
      </w:r>
      <w:r>
        <w:rPr>
          <w:rtl w:val="0"/>
        </w:rPr>
        <w:t xml:space="preserve"> модельных профилей. </w:t>
      </w:r>
    </w:p>
    <w:p w14:paraId="00000008">
      <w:pPr>
        <w:keepNext/>
        <w:spacing w:before="160" w:after="80"/>
        <w:ind w:firstLine="720"/>
        <w:jc w:val="left"/>
      </w:pPr>
      <w:r>
        <w:rPr>
          <w:rtl w:val="0"/>
        </w:rPr>
        <w:t>Введение</w:t>
      </w:r>
    </w:p>
    <w:p w14:paraId="00000009">
      <w:pPr>
        <w:keepNext w:val="0"/>
        <w:spacing w:before="0" w:after="0"/>
      </w:pPr>
      <w:r>
        <w:rPr>
          <w:rtl w:val="0"/>
        </w:rPr>
        <w:t>Качество анализа данных зависит от полноты исходной информации. Получение дополнительных измерений требует времени и ресурсов, поэтому на практике приходится работать с ограниченным числом наблюдений. Такая ситуация возникает при изучении температуры молочной железы. В рассматриваемой схеме для каждого температурного слоя используются девять измерений. По этим данным разрабатываются методы распознавания температурных аномалий [1].</w:t>
      </w:r>
    </w:p>
    <w:p w14:paraId="0000000A">
      <w:pPr>
        <w:keepNext w:val="0"/>
        <w:spacing w:before="0" w:after="0"/>
      </w:pPr>
      <w:r>
        <w:rPr>
          <w:rtl w:val="0"/>
        </w:rPr>
        <w:t>Для описания температуры между измерительными точками можно подобрать математическую функцию. Если её параметры определяют положение, размер и выраженность температурных отклонений, их изменение позволяет получать новые профили. Такой принцип формирования данных предложен А. Г. Лосевым и И. А. Медведевым [2]. Задача исследования — построить функцию, учитывающую общий температурный фон и локальные отклонения, оценить точность приближения и проверить полученные с её помощью данные.</w:t>
      </w:r>
    </w:p>
    <w:p w14:paraId="0000000B">
      <w:pPr>
        <w:keepNext/>
        <w:spacing w:before="160" w:after="80"/>
        <w:ind w:firstLine="720"/>
        <w:jc w:val="left"/>
      </w:pPr>
      <w:r>
        <w:rPr>
          <w:rtl w:val="0"/>
        </w:rPr>
        <w:t>Материалы и методы</w:t>
      </w:r>
    </w:p>
    <w:p w14:paraId="6AA8A105">
      <w:pPr>
        <w:keepNext w:val="0"/>
        <w:keepLines/>
        <w:spacing w:before="0" w:after="0"/>
        <w:rPr>
          <w:rtl w:val="0"/>
        </w:rPr>
      </w:pPr>
      <w:r>
        <w:rPr>
          <w:rtl w:val="0"/>
        </w:rPr>
        <w:t>Исходная выборка содержит 9162 записи обследований отдельных молочных желез. Для каждой записи известны девять глубинных и девять кожных температур. По температурным признакам выделены классы th0–th5; их численности равны 5744, 1512, 1221, 121, 370 и 194. Для расчётов центральная точка помещена в начало координат, восемь остальных равномерно расположены на единичной окружности.</w:t>
      </w:r>
    </w:p>
    <w:p w14:paraId="1EED50C8">
      <w:pPr>
        <w:keepNext w:val="0"/>
        <w:keepLines/>
        <w:spacing w:before="0" w:after="0"/>
        <w:rPr>
          <w:rtl w:val="0"/>
        </w:rPr>
      </w:pPr>
      <w:r>
        <w:rPr>
          <w:rtl w:val="0"/>
        </w:rPr>
        <w:t xml:space="preserve">На рисунке 1 показаны два профиля с </w:t>
      </w:r>
      <w:r>
        <w:rPr>
          <w:rtl w:val="0"/>
          <w:lang w:val="ru-RU"/>
        </w:rPr>
        <w:t>построенными</w:t>
      </w:r>
      <w:r>
        <w:rPr>
          <w:rFonts w:hint="default"/>
          <w:rtl w:val="0"/>
          <w:lang w:val="ru-RU"/>
        </w:rPr>
        <w:t xml:space="preserve"> тепловыми полями</w:t>
      </w:r>
      <w:r>
        <w:rPr>
          <w:rtl w:val="0"/>
        </w:rPr>
        <w:t>.</w:t>
      </w:r>
      <w:r>
        <w:rPr>
          <w:rFonts w:hint="default"/>
          <w:rtl w:val="0"/>
          <w:lang w:val="ru-RU"/>
        </w:rPr>
        <w:t xml:space="preserve"> Левый использует аппроксимацию тепловых полей, построенную с помощью библиотеки </w:t>
      </w:r>
      <w:r>
        <w:rPr>
          <w:rFonts w:hint="default"/>
          <w:rtl w:val="0"/>
          <w:lang w:val="en-US"/>
        </w:rPr>
        <w:t>python</w:t>
      </w:r>
      <w:r>
        <w:rPr>
          <w:rFonts w:hint="default"/>
          <w:rtl w:val="0"/>
          <w:lang w:val="ru-RU"/>
        </w:rPr>
        <w:t xml:space="preserve">, правый использует аппроксимацию с помощью формулы. </w:t>
      </w:r>
      <w:r>
        <w:rPr>
          <w:rtl w:val="0"/>
        </w:rPr>
        <w:t xml:space="preserve">Точки 0–8 обозначают места измерений, значения между ними рассчитаны методом обратных расстояний. </w:t>
      </w:r>
    </w:p>
    <w:p w14:paraId="6FF2292A">
      <w:pPr>
        <w:keepNext w:val="0"/>
        <w:keepLines/>
        <w:spacing w:before="0" w:after="0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drawing>
          <wp:inline distT="0" distB="0" distL="114300" distR="114300">
            <wp:extent cx="5133340" cy="1518285"/>
            <wp:effectExtent l="0" t="0" r="2540" b="5715"/>
            <wp:docPr id="2" name="Изображение 2" descr="th0_best_rmseField_0.021_idx4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th0_best_rmseField_0.021_idx4024"/>
                    <pic:cNvPicPr>
                      <a:picLocks noChangeAspect="1"/>
                    </pic:cNvPicPr>
                  </pic:nvPicPr>
                  <pic:blipFill>
                    <a:blip r:embed="rId4"/>
                    <a:srcRect t="10272" r="33325" b="47649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2B3D">
      <w:pPr>
        <w:keepNext/>
        <w:spacing w:before="160" w:after="80"/>
        <w:ind w:left="0" w:leftChars="0" w:firstLine="0" w:firstLineChars="0"/>
        <w:jc w:val="center"/>
        <w:rPr>
          <w:rFonts w:hint="default"/>
          <w:rtl w:val="0"/>
          <w:lang w:val="ru-RU"/>
        </w:rPr>
      </w:pPr>
      <w:r>
        <w:rPr>
          <w:rtl w:val="0"/>
        </w:rPr>
        <w:t xml:space="preserve">Рисунок 1. </w:t>
      </w:r>
      <w:r>
        <w:rPr>
          <w:rFonts w:hint="default"/>
          <w:rtl w:val="0"/>
          <w:lang w:val="ru-RU"/>
        </w:rPr>
        <w:t xml:space="preserve"> Температурные поля, построенные с помощью библиотеки </w:t>
      </w:r>
      <w:r>
        <w:rPr>
          <w:rFonts w:hint="default"/>
          <w:rtl w:val="0"/>
          <w:lang w:val="en-US"/>
        </w:rPr>
        <w:t>python</w:t>
      </w:r>
      <w:r>
        <w:rPr>
          <w:rFonts w:hint="default"/>
          <w:rtl w:val="0"/>
          <w:lang w:val="ru-RU"/>
        </w:rPr>
        <w:t xml:space="preserve"> и с помощью формулы</w:t>
      </w:r>
    </w:p>
    <w:p w14:paraId="00000010">
      <w:pPr>
        <w:keepNext/>
        <w:spacing w:before="0" w:after="0"/>
      </w:pPr>
      <w:r>
        <w:rPr>
          <w:rtl w:val="0"/>
        </w:rPr>
        <w:t>Каждый температурный слой приближённо описывается функцией</w:t>
      </w:r>
    </w:p>
    <w:p w14:paraId="00000011">
      <w:pPr>
        <w:jc w:val="center"/>
        <w:rPr>
          <w:rFonts w:hAnsi="Times New Roman" w:eastAsia="Times New Roman" w:cs="Times New Roman"/>
          <w:i w:val="0"/>
          <w:sz w:val="28"/>
          <w:szCs w:val="28"/>
        </w:rPr>
      </w:pPr>
      <m:oMathPara>
        <m:oMath>
          <m:r>
            <m:rPr/>
            <w:rPr>
              <w:rFonts w:ascii="Times New Roman" w:hAnsi="Times New Roman" w:eastAsia="Times New Roman" w:cs="Times New Roman"/>
              <w:sz w:val="28"/>
              <w:szCs w:val="28"/>
            </w:rPr>
            <m:t xml:space="preserve">T̂(z) = B + </m:t>
          </m:r>
          <m:sSub>
            <m:sSubPr>
              <m:ctrlPr>
                <w:rPr>
                  <w:rFonts w:ascii="Times New Roman" w:hAnsi="Times New Roman" w:eastAsia="Times New Roman" w:cs="Times New Roman"/>
                  <w:sz w:val="28"/>
                  <w:szCs w:val="28"/>
                </w:rPr>
              </m:ctrlPr>
            </m:sSubPr>
            <m:e>
              <m:r>
                <m:rPr/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t>∑</m:t>
              </m:r>
              <m:ctrlPr>
                <w:rPr>
                  <w:rFonts w:ascii="Times New Roman" w:hAnsi="Times New Roman" w:eastAsia="Times New Roman" w:cs="Times New Roman"/>
                  <w:sz w:val="28"/>
                  <w:szCs w:val="28"/>
                </w:rPr>
              </m:ctrlPr>
            </m:e>
            <m:sub>
              <m:r>
                <m:rPr/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t>j ∈ {</m:t>
              </m:r>
              <m:r>
                <m:rPr>
                  <m:sty m:val="p"/>
                </m:rPr>
                <w:rPr>
                  <w:rFonts w:hint="default" w:ascii="Times New Roman" w:hAnsi="Times New Roman" w:eastAsia="Times New Roman" w:cs="Times New Roman"/>
                  <w:sz w:val="28"/>
                  <w:szCs w:val="28"/>
                  <w:lang w:val="ru-RU"/>
                </w:rPr>
                <m:t>3</m:t>
              </m:r>
              <m:r>
                <m:rPr/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t>}</m:t>
              </m:r>
              <m:ctrlPr>
                <w:rPr>
                  <w:rFonts w:ascii="Times New Roman" w:hAnsi="Times New Roman" w:eastAsia="Times New Roman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ascii="Times New Roman" w:hAnsi="Times New Roman" w:eastAsia="Times New Roman" w:cs="Times New Roman"/>
                  <w:sz w:val="28"/>
                  <w:szCs w:val="28"/>
                </w:rPr>
              </m:ctrlPr>
            </m:sSubPr>
            <m:e>
              <m:r>
                <m:rPr/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t>A</m:t>
              </m:r>
              <m:ctrlPr>
                <w:rPr>
                  <w:rFonts w:ascii="Times New Roman" w:hAnsi="Times New Roman" w:eastAsia="Times New Roman" w:cs="Times New Roman"/>
                  <w:sz w:val="28"/>
                  <w:szCs w:val="28"/>
                </w:rPr>
              </m:ctrlPr>
            </m:e>
            <m:sub>
              <m:r>
                <m:rPr/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t>j</m:t>
              </m:r>
              <m:ctrlPr>
                <w:rPr>
                  <w:rFonts w:ascii="Times New Roman" w:hAnsi="Times New Roman" w:eastAsia="Times New Roman" w:cs="Times New Roman"/>
                  <w:sz w:val="28"/>
                  <w:szCs w:val="28"/>
                </w:rPr>
              </m:ctrlPr>
            </m:sub>
          </m:sSub>
          <m:r>
            <m:rPr/>
            <w:rPr>
              <w:rFonts w:ascii="Times New Roman" w:hAnsi="Times New Roman" w:eastAsia="Times New Roman" w:cs="Times New Roman"/>
              <w:sz w:val="28"/>
              <w:szCs w:val="28"/>
            </w:rPr>
            <m:t xml:space="preserve"> exp(−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sz w:val="28"/>
              <w:szCs w:val="28"/>
              <w:lang w:val="ru-RU"/>
            </w:rPr>
            <m:t>0</m:t>
          </m:r>
          <m:r>
            <m:rPr>
              <m:sty m:val="p"/>
            </m:rPr>
            <w:rPr>
              <w:rFonts w:hint="default" w:ascii="Times New Roman" w:hAnsi="Times New Roman" w:eastAsia="Times New Roman" w:cs="Times New Roman"/>
              <w:sz w:val="28"/>
              <w:szCs w:val="28"/>
              <w:lang w:val="en-US"/>
            </w:rPr>
            <m:t>,5∗(</m:t>
          </m:r>
          <m:f>
            <m:fPr>
              <m:ctrlPr>
                <w:rPr>
                  <w:rFonts w:ascii="Times New Roman" w:hAnsi="Times New Roman" w:eastAsia="Times New Roman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R</m:t>
                  </m:r>
                  <m:ctrlPr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j</m:t>
                  </m:r>
                  <m:ctrlPr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b w:val="0"/>
                  <w:i w:val="0"/>
                  <w:sz w:val="28"/>
                  <w:szCs w:val="28"/>
                  <w:lang w:val="en-US"/>
                </w:rPr>
                <m:t>-R</m:t>
              </m:r>
              <m:ctrlPr>
                <w:rPr>
                  <w:rFonts w:ascii="Times New Roman" w:hAnsi="Times New Roman" w:eastAsia="Times New Roman" w:cs="Times New Roman"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hint="default" w:ascii="Times New Roman" w:hAnsi="Times New Roman" w:eastAsia="Times New Roman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Times New Roman" w:hAnsi="Times New Roman" w:eastAsia="Times New Roman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Times New Roman" w:cs="Times New Roman"/>
                          <w:i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hint="default" w:ascii="Times New Roman" w:hAnsi="Times New Roman" w:eastAsia="Times New Roman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Times New Roman" w:cs="Times New Roman"/>
                          <w:i/>
                          <w:sz w:val="28"/>
                          <w:szCs w:val="28"/>
                          <w:lang w:val="en-US"/>
                        </w:rPr>
                        <m:t>j</m:t>
                      </m:r>
                      <m:ctrlPr>
                        <w:rPr>
                          <w:rFonts w:hint="default" w:ascii="Times New Roman" w:hAnsi="Times New Roman" w:eastAsia="Times New Roman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Times New Roman" w:hAnsi="Times New Roman" w:eastAsia="Times New Roman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eastAsia="Times New Roman" w:cs="Times New Roman"/>
                      <w:i/>
                      <w:sz w:val="28"/>
                      <w:szCs w:val="28"/>
                      <w:lang w:val="en-US"/>
                    </w:rPr>
                  </m:ctrlPr>
                </m:sup>
              </m:sSup>
              <m:ctrlPr>
                <w:rPr>
                  <w:rFonts w:ascii="Times New Roman" w:hAnsi="Times New Roman" w:eastAsia="Times New Roman" w:cs="Times New Roman"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 w:eastAsia="Times New Roman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hint="default" w:ascii="Times New Roman" w:hAnsi="Times New Roman" w:eastAsia="Times New Roman" w:cs="Times New Roman"/>
                  <w:i w:val="0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 w:eastAsia="Times New Roman" w:cs="Times New Roman"/>
                  <w:sz w:val="28"/>
                  <w:szCs w:val="28"/>
                  <w:lang w:val="en-US"/>
                </w:rPr>
                <m:t>arctan(</m:t>
              </m:r>
              <m:f>
                <m:fPr>
                  <m:ctrlPr>
                    <w:rPr>
                      <w:rFonts w:hint="default" w:ascii="Times New Roman" w:hAnsi="Times New Roman" w:eastAsia="Times New Roman" w:cs="Times New Roman"/>
                      <w:i w:val="0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Times New Roman" w:hAnsi="Times New Roman" w:eastAsia="Times New Roman" w:cs="Times New Roman"/>
                          <w:i w:val="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Times New Roman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y'</m:t>
                      </m:r>
                      <m:ctrlPr>
                        <w:rPr>
                          <w:rFonts w:hint="default" w:ascii="Times New Roman" w:hAnsi="Times New Roman" w:eastAsia="Times New Roman" w:cs="Times New Roman"/>
                          <w:i w:val="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Times New Roman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j</m:t>
                      </m:r>
                      <m:ctrlPr>
                        <w:rPr>
                          <w:rFonts w:hint="default" w:ascii="Times New Roman" w:hAnsi="Times New Roman" w:eastAsia="Times New Roman" w:cs="Times New Roman"/>
                          <w:i w:val="0"/>
                          <w:sz w:val="28"/>
                          <w:szCs w:val="28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Times New Roman" w:hAnsi="Times New Roman" w:eastAsia="Times New Roman" w:cs="Times New Roman"/>
                      <w:i w:val="0"/>
                      <w:sz w:val="28"/>
                      <w:szCs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Times New Roman" w:hAnsi="Times New Roman" w:eastAsia="Times New Roman" w:cs="Times New Roman"/>
                          <w:i w:val="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Times New Roman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x'</m:t>
                      </m:r>
                      <m:ctrlPr>
                        <w:rPr>
                          <w:rFonts w:hint="default" w:ascii="Times New Roman" w:hAnsi="Times New Roman" w:eastAsia="Times New Roman" w:cs="Times New Roman"/>
                          <w:i w:val="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Times New Roman" w:cs="Times New Roman"/>
                          <w:b w:val="0"/>
                          <w:i w:val="0"/>
                          <w:sz w:val="28"/>
                          <w:szCs w:val="28"/>
                          <w:lang w:val="en-US"/>
                        </w:rPr>
                        <m:t>j</m:t>
                      </m:r>
                      <m:ctrlPr>
                        <w:rPr>
                          <w:rFonts w:hint="default" w:ascii="Times New Roman" w:hAnsi="Times New Roman" w:eastAsia="Times New Roman" w:cs="Times New Roman"/>
                          <w:i w:val="0"/>
                          <w:sz w:val="28"/>
                          <w:szCs w:val="28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Times New Roman" w:hAnsi="Times New Roman" w:eastAsia="Times New Roman" w:cs="Times New Roman"/>
                      <w:i w:val="0"/>
                      <w:sz w:val="28"/>
                      <w:szCs w:val="28"/>
                      <w:lang w:val="en-US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Times New Roman" w:hAnsi="Times New Roman" w:eastAsia="Times New Roman" w:cs="Times New Roman"/>
                  <w:sz w:val="28"/>
                  <w:szCs w:val="28"/>
                  <w:lang w:val="en-US"/>
                </w:rPr>
                <m:t>)</m:t>
              </m:r>
              <m:ctrlPr>
                <w:rPr>
                  <w:rFonts w:hint="default" w:ascii="Times New Roman" w:hAnsi="Times New Roman" w:eastAsia="Times New Roman" w:cs="Times New Roman"/>
                  <w:i w:val="0"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hint="default" w:ascii="Times New Roman" w:hAnsi="Times New Roman" w:eastAsia="Times New Roman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Times New Roman" w:hAnsi="Times New Roman" w:eastAsia="Times New Roman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Times New Roman" w:cs="Times New Roman"/>
                          <w:i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hint="default" w:ascii="Times New Roman" w:hAnsi="Times New Roman" w:eastAsia="Times New Roman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Times New Roman" w:cs="Times New Roman"/>
                          <w:i/>
                          <w:sz w:val="28"/>
                          <w:szCs w:val="28"/>
                          <w:lang w:val="en-US"/>
                        </w:rPr>
                        <m:t>j</m:t>
                      </m:r>
                      <m:ctrlPr>
                        <w:rPr>
                          <w:rFonts w:hint="default" w:ascii="Times New Roman" w:hAnsi="Times New Roman" w:eastAsia="Times New Roman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Times New Roman" w:hAnsi="Times New Roman" w:eastAsia="Times New Roman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eastAsia="Times New Roman" w:cs="Times New Roman"/>
                      <w:i/>
                      <w:sz w:val="28"/>
                      <w:szCs w:val="28"/>
                      <w:lang w:val="en-US"/>
                    </w:rPr>
                  </m:ctrlPr>
                </m:sup>
              </m:sSup>
              <m:ctrlPr>
                <w:rPr>
                  <w:rFonts w:hint="default" w:ascii="Times New Roman" w:hAnsi="Times New Roman" w:eastAsia="Times New Roman" w:cs="Times New Roman"/>
                  <w:i w:val="0"/>
                  <w:sz w:val="28"/>
                  <w:szCs w:val="28"/>
                  <w:lang w:val="en-US"/>
                </w:rPr>
              </m:ctrlPr>
            </m:den>
          </m:f>
          <m:r>
            <m:rPr/>
            <w:rPr>
              <w:rFonts w:ascii="Times New Roman" w:hAnsi="Times New Roman" w:eastAsia="Times New Roman" w:cs="Times New Roman"/>
              <w:sz w:val="28"/>
              <w:szCs w:val="28"/>
            </w:rPr>
            <m:t>),</m:t>
          </m:r>
        </m:oMath>
      </m:oMathPara>
    </w:p>
    <w:p w14:paraId="00000012">
      <w:pPr>
        <w:jc w:val="both"/>
      </w:pPr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 xml:space="preserve">Где </w:t>
      </w:r>
      <w:r>
        <w:rPr>
          <w:rFonts w:hint="default" w:hAnsi="Times New Roman" w:eastAsia="Times New Roman" w:cs="Times New Roman"/>
          <w:i w:val="0"/>
          <w:sz w:val="28"/>
          <w:szCs w:val="28"/>
          <w:lang w:val="en-US"/>
        </w:rPr>
        <w:t>B</w:t>
      </w:r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 xml:space="preserve"> </w:t>
      </w:r>
      <w:r>
        <w:rPr>
          <w:rtl w:val="0"/>
        </w:rPr>
        <w:t>— медиана девяти измерений</w:t>
      </w:r>
      <w:r>
        <w:rPr>
          <w:rFonts w:hint="default"/>
          <w:rtl w:val="0"/>
          <w:lang w:val="ru-RU"/>
        </w:rPr>
        <w:t xml:space="preserve">, </w:t>
      </w:r>
      <w:r>
        <w:rPr>
          <w:rFonts w:hint="default"/>
          <w:rtl w:val="0"/>
          <w:lang w:val="en-US"/>
        </w:rPr>
        <w:t>j</w:t>
      </w:r>
      <w:r>
        <w:rPr>
          <w:rFonts w:hint="default"/>
          <w:rtl w:val="0"/>
          <w:lang w:val="ru-RU"/>
        </w:rPr>
        <w:t xml:space="preserve">- принадлежит 1 из 3 шапок, благодаря которым строится тепловое поле, </w:t>
      </w:r>
      <m:oMath>
        <m:sSub>
          <m:sSubP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R</m:t>
            </m: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j</m:t>
            </m:r>
            <m:ctrlPr>
              <w:rPr>
                <w:rFonts w:ascii="Times New Roman" w:hAnsi="Times New Roman" w:eastAsia="Times New Roman" w:cs="Times New Roman"/>
                <w:sz w:val="28"/>
                <w:szCs w:val="28"/>
              </w:rPr>
            </m:ctrlPr>
          </m:sub>
        </m:sSub>
      </m:oMath>
      <w:r>
        <w:rPr>
          <w:rFonts w:hint="default" w:hAnsi="Times New Roman" w:eastAsia="Times New Roman" w:cs="Times New Roman"/>
          <w:i w:val="0"/>
          <w:sz w:val="28"/>
          <w:szCs w:val="28"/>
          <w:lang w:val="en-US"/>
        </w:rPr>
        <w:t xml:space="preserve">- </w:t>
      </w:r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 xml:space="preserve">расстояние от точки 0, до одной из шапок, </w:t>
      </w:r>
      <w:r>
        <w:rPr>
          <w:rFonts w:hint="default" w:hAnsi="Times New Roman" w:eastAsia="Times New Roman" w:cs="Times New Roman"/>
          <w:i w:val="0"/>
          <w:sz w:val="28"/>
          <w:szCs w:val="28"/>
          <w:lang w:val="en-US"/>
        </w:rPr>
        <w:t>R-</w:t>
      </w:r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 xml:space="preserve"> радиус всей окружности, 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x'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>=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>∗cos(al)+ 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 xml:space="preserve">∗sin(al), 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y'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>=−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>∗sin(al)+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>∗cos(al),  al=arctg(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0j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>/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0j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Times New Roman" w:eastAsia="Times New Roman" w:cs="Times New Roman"/>
          <w:i w:val="0"/>
          <w:sz w:val="28"/>
          <w:szCs w:val="28"/>
          <w:lang w:val="ru-RU"/>
        </w:rPr>
        <w:t>), (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0j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ru-RU"/>
              </w:rPr>
              <m:t>,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y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0j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i w:val="0"/>
          <w:sz w:val="28"/>
          <w:szCs w:val="28"/>
          <w:lang w:val="ru-RU"/>
        </w:rPr>
        <w:t xml:space="preserve">)-центр шапки, 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a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Times New Roman" w:eastAsia="Times New Roman" w:cs="Times New Roman"/>
          <w:i w:val="0"/>
          <w:sz w:val="28"/>
          <w:szCs w:val="28"/>
          <w:lang w:val="en-US"/>
        </w:rPr>
        <w:t xml:space="preserve">-длина в радианах вдоль окружности, </w:t>
      </w:r>
      <w:r>
        <w:rPr>
          <w:rFonts w:hint="default" w:ascii="Calibri" w:hAnsi="Times New Roman" w:eastAsia="Times New Roman" w:cs="Times New Roman"/>
          <w:i w:val="0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8"/>
                <w:szCs w:val="28"/>
                <w:lang w:val="en-US"/>
              </w:rPr>
              <m:t>j</m:t>
            </m:r>
            <m:ctrlPr>
              <w:rPr>
                <w:rFonts w:hint="default" w:ascii="Times New Roman" w:hAnsi="Times New Roman" w:eastAsia="Times New Roman" w:cs="Times New Roman"/>
                <w:i w:val="0"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i w:val="0"/>
          <w:sz w:val="28"/>
          <w:szCs w:val="28"/>
          <w:lang w:val="ru-RU"/>
        </w:rPr>
        <w:t xml:space="preserve"> -ширина эллипса. </w:t>
      </w:r>
      <w:r>
        <w:rPr>
          <w:rFonts w:ascii="Times New Roman"/>
          <w:rtl w:val="0"/>
          <w:lang w:val="ru-RU"/>
        </w:rPr>
        <w:t>С</w:t>
      </w:r>
      <w:r>
        <w:rPr>
          <w:rtl w:val="0"/>
        </w:rPr>
        <w:t>оставляющие</w:t>
      </w:r>
      <w:r>
        <w:rPr>
          <w:rFonts w:hint="default"/>
          <w:rtl w:val="0"/>
          <w:lang w:val="ru-RU"/>
        </w:rPr>
        <w:t xml:space="preserve"> теплового поля </w:t>
      </w:r>
      <w:r>
        <w:rPr>
          <w:rtl w:val="0"/>
        </w:rPr>
        <w:t xml:space="preserve">подбираются последовательно. Периферийные центры помещаются </w:t>
      </w:r>
      <w:r>
        <w:rPr>
          <w:rtl w:val="0"/>
          <w:lang w:val="ru-RU"/>
        </w:rPr>
        <w:t>в</w:t>
      </w:r>
      <w:r>
        <w:rPr>
          <w:rtl w:val="0"/>
        </w:rPr>
        <w:t xml:space="preserve"> </w:t>
      </w:r>
      <w:r>
        <w:rPr>
          <w:rtl w:val="0"/>
          <w:lang w:val="ru-RU"/>
        </w:rPr>
        <w:t>точках</w:t>
      </w:r>
      <w:r>
        <w:rPr>
          <w:rFonts w:hint="default"/>
          <w:rtl w:val="0"/>
          <w:lang w:val="ru-RU"/>
        </w:rPr>
        <w:t xml:space="preserve"> датчиков</w:t>
      </w:r>
      <w:r>
        <w:rPr>
          <w:rtl w:val="0"/>
        </w:rPr>
        <w:t xml:space="preserve"> и наименьшего оставшихся отклонений. Ширины перебираются по сетке, амплитуды рассчитываются методом наименьших квадратов.</w:t>
      </w:r>
    </w:p>
    <w:p w14:paraId="0F6E74D4">
      <w:pPr>
        <w:ind w:left="0" w:leftChars="0" w:firstLine="0" w:firstLineChars="0"/>
        <w:jc w:val="both"/>
        <w:rPr>
          <w:rFonts w:hint="default" w:hAnsi="Times New Roman" w:eastAsia="Times New Roman" w:cs="Times New Roman"/>
          <w:i w:val="0"/>
          <w:sz w:val="28"/>
          <w:szCs w:val="28"/>
          <w:lang w:val="ru-RU"/>
        </w:rPr>
      </w:pPr>
    </w:p>
    <w:p w14:paraId="00000017">
      <w:pPr>
        <w:keepNext/>
        <w:spacing w:before="160" w:after="80"/>
        <w:ind w:firstLine="720"/>
        <w:jc w:val="left"/>
      </w:pPr>
      <w:r>
        <w:rPr>
          <w:rtl w:val="0"/>
        </w:rPr>
        <w:t>Результаты и их обсуждение</w:t>
      </w:r>
    </w:p>
    <w:p w14:paraId="00000018">
      <w:pPr>
        <w:keepNext w:val="0"/>
        <w:spacing w:before="0" w:after="0"/>
      </w:pPr>
      <w:r>
        <w:rPr>
          <w:rtl w:val="0"/>
        </w:rPr>
        <w:t xml:space="preserve">Результаты </w:t>
      </w:r>
      <w:r>
        <w:rPr>
          <w:rtl w:val="0"/>
          <w:lang w:val="ru-RU"/>
        </w:rPr>
        <w:t>работы</w:t>
      </w:r>
      <w:r>
        <w:rPr>
          <w:rFonts w:hint="default"/>
          <w:rtl w:val="0"/>
          <w:lang w:val="en-US"/>
        </w:rPr>
        <w:t xml:space="preserve"> </w:t>
      </w:r>
      <w:r>
        <w:rPr>
          <w:rFonts w:hint="default"/>
          <w:rtl w:val="0"/>
          <w:lang w:val="ru-RU"/>
        </w:rPr>
        <w:t>формулы</w:t>
      </w:r>
      <w:r>
        <w:rPr>
          <w:rtl w:val="0"/>
        </w:rPr>
        <w:t xml:space="preserve"> приведены в таблице 1. Меньшее значение RMSE₉ означает более точное совпадение с измерениями. Метод главных компонент и автоэнкодер дают меньшую погрешность. Предложенная модель сохраняет возможность непосредственно задавать положение и размер температурных областей при получении новых данных.</w:t>
      </w:r>
    </w:p>
    <w:tbl>
      <w:tblPr>
        <w:tblStyle w:val="3"/>
        <w:tblpPr w:leftFromText="180" w:rightFromText="180" w:vertAnchor="text" w:horzAnchor="page" w:tblpX="24" w:tblpY="207"/>
        <w:tblOverlap w:val="never"/>
        <w:tblW w:w="1180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1"/>
        <w:gridCol w:w="1701"/>
        <w:gridCol w:w="1970"/>
        <w:gridCol w:w="2270"/>
        <w:gridCol w:w="2570"/>
        <w:gridCol w:w="2870"/>
      </w:tblGrid>
      <w:tr w14:paraId="59276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1" w:hRule="atLeast"/>
        </w:trPr>
        <w:tc>
          <w:tcPr>
            <w:tcW w:w="42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5B9BD5"/>
            <w:vAlign w:val="top"/>
          </w:tcPr>
          <w:p w14:paraId="3593F56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b/>
                <w:bCs/>
                <w:color w:val="FFFFFF"/>
                <w:sz w:val="36"/>
                <w:szCs w:val="36"/>
              </w:rPr>
              <w:t>th </w:t>
            </w:r>
          </w:p>
        </w:tc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5B9BD5"/>
            <w:vAlign w:val="top"/>
          </w:tcPr>
          <w:p w14:paraId="47C7CF0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b/>
                <w:bCs/>
                <w:color w:val="FFFFFF"/>
                <w:sz w:val="36"/>
                <w:szCs w:val="36"/>
              </w:rPr>
              <w:t>n_patients </w:t>
            </w:r>
          </w:p>
        </w:tc>
        <w:tc>
          <w:tcPr>
            <w:tcW w:w="19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5B9BD5"/>
            <w:vAlign w:val="top"/>
          </w:tcPr>
          <w:p w14:paraId="7621E18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b/>
                <w:bCs/>
                <w:color w:val="FFFFFF"/>
                <w:sz w:val="36"/>
                <w:szCs w:val="36"/>
              </w:rPr>
              <w:t>mean_rmse9</w:t>
            </w:r>
          </w:p>
        </w:tc>
        <w:tc>
          <w:tcPr>
            <w:tcW w:w="22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5B9BD5"/>
            <w:vAlign w:val="top"/>
          </w:tcPr>
          <w:p w14:paraId="76869C1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b/>
                <w:bCs/>
                <w:color w:val="FFFFFF"/>
                <w:sz w:val="36"/>
                <w:szCs w:val="36"/>
              </w:rPr>
              <w:t>median_rmse9</w:t>
            </w:r>
          </w:p>
        </w:tc>
        <w:tc>
          <w:tcPr>
            <w:tcW w:w="25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5B9BD5"/>
            <w:vAlign w:val="top"/>
          </w:tcPr>
          <w:p w14:paraId="273245C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b/>
                <w:bCs/>
                <w:color w:val="FFFFFF"/>
                <w:sz w:val="36"/>
                <w:szCs w:val="36"/>
              </w:rPr>
              <w:t>mean_rmseField</w:t>
            </w:r>
          </w:p>
        </w:tc>
        <w:tc>
          <w:tcPr>
            <w:tcW w:w="28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5B9BD5"/>
            <w:vAlign w:val="top"/>
          </w:tcPr>
          <w:p w14:paraId="73D3362F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b/>
                <w:bCs/>
                <w:color w:val="FFFFFF"/>
                <w:sz w:val="36"/>
                <w:szCs w:val="36"/>
              </w:rPr>
              <w:t>median_rmseField</w:t>
            </w:r>
          </w:p>
          <w:p w14:paraId="523B3484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</w:p>
        </w:tc>
      </w:tr>
      <w:tr w14:paraId="2B192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2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23E784F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</w:t>
            </w:r>
          </w:p>
        </w:tc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3DDB460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5744</w:t>
            </w:r>
          </w:p>
        </w:tc>
        <w:tc>
          <w:tcPr>
            <w:tcW w:w="19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011CBDD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0.1208</w:t>
            </w:r>
          </w:p>
        </w:tc>
        <w:tc>
          <w:tcPr>
            <w:tcW w:w="22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3C7B8634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0.1104</w:t>
            </w:r>
          </w:p>
        </w:tc>
        <w:tc>
          <w:tcPr>
            <w:tcW w:w="25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6D4FA0B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0.1211</w:t>
            </w:r>
          </w:p>
        </w:tc>
        <w:tc>
          <w:tcPr>
            <w:tcW w:w="28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6958036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0.1129</w:t>
            </w:r>
          </w:p>
        </w:tc>
      </w:tr>
      <w:tr w14:paraId="4AAD1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2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12F04EA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1</w:t>
            </w:r>
          </w:p>
        </w:tc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100892C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1512</w:t>
            </w:r>
          </w:p>
        </w:tc>
        <w:tc>
          <w:tcPr>
            <w:tcW w:w="19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34CAFC1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0.1756</w:t>
            </w:r>
          </w:p>
        </w:tc>
        <w:tc>
          <w:tcPr>
            <w:tcW w:w="22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2C7CA4FF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0.1617</w:t>
            </w:r>
          </w:p>
        </w:tc>
        <w:tc>
          <w:tcPr>
            <w:tcW w:w="25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193115C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0.1803</w:t>
            </w:r>
          </w:p>
        </w:tc>
        <w:tc>
          <w:tcPr>
            <w:tcW w:w="28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0790156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0.1706</w:t>
            </w:r>
          </w:p>
        </w:tc>
      </w:tr>
      <w:tr w14:paraId="16DE6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2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3731CE8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2</w:t>
            </w:r>
          </w:p>
        </w:tc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6205BCA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1221</w:t>
            </w:r>
          </w:p>
        </w:tc>
        <w:tc>
          <w:tcPr>
            <w:tcW w:w="19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530F98D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0.1421 </w:t>
            </w:r>
          </w:p>
        </w:tc>
        <w:tc>
          <w:tcPr>
            <w:tcW w:w="22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510342F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0.1285</w:t>
            </w:r>
          </w:p>
        </w:tc>
        <w:tc>
          <w:tcPr>
            <w:tcW w:w="25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7A0DF58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0.1397</w:t>
            </w:r>
          </w:p>
        </w:tc>
        <w:tc>
          <w:tcPr>
            <w:tcW w:w="28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0340B9A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0.1322</w:t>
            </w:r>
          </w:p>
        </w:tc>
      </w:tr>
      <w:tr w14:paraId="3BC1A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2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55B393F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3</w:t>
            </w:r>
          </w:p>
        </w:tc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4788DF8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 xml:space="preserve">121 </w:t>
            </w:r>
          </w:p>
        </w:tc>
        <w:tc>
          <w:tcPr>
            <w:tcW w:w="19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5069981F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0.1569</w:t>
            </w:r>
          </w:p>
        </w:tc>
        <w:tc>
          <w:tcPr>
            <w:tcW w:w="22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380EAED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0.1442</w:t>
            </w:r>
          </w:p>
        </w:tc>
        <w:tc>
          <w:tcPr>
            <w:tcW w:w="25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6D648AE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0.1562</w:t>
            </w:r>
          </w:p>
        </w:tc>
        <w:tc>
          <w:tcPr>
            <w:tcW w:w="28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687FE87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0.1522</w:t>
            </w:r>
          </w:p>
        </w:tc>
      </w:tr>
      <w:tr w14:paraId="54B59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2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3CA858B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4</w:t>
            </w:r>
          </w:p>
        </w:tc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6788778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 xml:space="preserve">370 </w:t>
            </w:r>
          </w:p>
        </w:tc>
        <w:tc>
          <w:tcPr>
            <w:tcW w:w="19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588D5BA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0.1584</w:t>
            </w:r>
          </w:p>
        </w:tc>
        <w:tc>
          <w:tcPr>
            <w:tcW w:w="22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68D3B50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0.1419</w:t>
            </w:r>
          </w:p>
        </w:tc>
        <w:tc>
          <w:tcPr>
            <w:tcW w:w="25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721FFCD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0.1599</w:t>
            </w:r>
          </w:p>
        </w:tc>
        <w:tc>
          <w:tcPr>
            <w:tcW w:w="28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2DEEF"/>
            <w:vAlign w:val="top"/>
          </w:tcPr>
          <w:p w14:paraId="1C9ED32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0.1509</w:t>
            </w:r>
          </w:p>
        </w:tc>
      </w:tr>
      <w:tr w14:paraId="1571B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42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1F1D5FE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5</w:t>
            </w:r>
          </w:p>
        </w:tc>
        <w:tc>
          <w:tcPr>
            <w:tcW w:w="1701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53FA9C6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 xml:space="preserve">194 </w:t>
            </w:r>
          </w:p>
        </w:tc>
        <w:tc>
          <w:tcPr>
            <w:tcW w:w="19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17092284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0.1674</w:t>
            </w:r>
          </w:p>
        </w:tc>
        <w:tc>
          <w:tcPr>
            <w:tcW w:w="22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403FDC5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0.1559</w:t>
            </w:r>
          </w:p>
        </w:tc>
        <w:tc>
          <w:tcPr>
            <w:tcW w:w="25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4A4D952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0.1676</w:t>
            </w:r>
          </w:p>
        </w:tc>
        <w:tc>
          <w:tcPr>
            <w:tcW w:w="287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AEFF7"/>
            <w:vAlign w:val="top"/>
          </w:tcPr>
          <w:p w14:paraId="56974FF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color w:val="000000"/>
                <w:sz w:val="36"/>
                <w:szCs w:val="36"/>
              </w:rPr>
              <w:t>0.1658</w:t>
            </w:r>
          </w:p>
        </w:tc>
      </w:tr>
    </w:tbl>
    <w:p w14:paraId="65F592FC">
      <w:pPr>
        <w:keepNext/>
        <w:spacing w:before="160" w:after="80"/>
        <w:ind w:left="0" w:leftChars="0" w:firstLine="0" w:firstLineChars="0"/>
        <w:jc w:val="left"/>
        <w:rPr>
          <w:rFonts w:hint="default"/>
          <w:rtl w:val="0"/>
          <w:lang w:val="ru-RU"/>
        </w:rPr>
      </w:pPr>
    </w:p>
    <w:p w14:paraId="71643F19">
      <w:pPr>
        <w:keepNext/>
        <w:spacing w:before="160" w:after="80"/>
        <w:ind w:left="0" w:leftChars="0" w:firstLine="0" w:firstLineChars="0"/>
        <w:jc w:val="left"/>
        <w:rPr>
          <w:rFonts w:hint="default"/>
          <w:rtl w:val="0"/>
          <w:lang w:val="ru-RU"/>
        </w:rPr>
      </w:pPr>
    </w:p>
    <w:p w14:paraId="0000002A">
      <w:pPr>
        <w:keepNext/>
        <w:spacing w:before="160" w:after="80"/>
        <w:jc w:val="left"/>
      </w:pPr>
      <w:r>
        <w:rPr>
          <w:rtl w:val="0"/>
        </w:rPr>
        <w:t>Заключение</w:t>
      </w:r>
    </w:p>
    <w:p w14:paraId="0000002B">
      <w:pPr>
        <w:keepNext w:val="0"/>
        <w:spacing w:before="0" w:after="0"/>
      </w:pPr>
      <w:r>
        <w:rPr>
          <w:rtl w:val="0"/>
          <w:lang w:val="ru-RU"/>
        </w:rPr>
        <w:t>Получена</w:t>
      </w:r>
      <w:r>
        <w:rPr>
          <w:rFonts w:hint="default"/>
          <w:rtl w:val="0"/>
          <w:lang w:val="ru-RU"/>
        </w:rPr>
        <w:t xml:space="preserve"> математическая формула</w:t>
      </w:r>
      <w:r>
        <w:rPr>
          <w:rtl w:val="0"/>
        </w:rPr>
        <w:t>, котор</w:t>
      </w:r>
      <w:r>
        <w:rPr>
          <w:rtl w:val="0"/>
          <w:lang w:val="ru-RU"/>
        </w:rPr>
        <w:t>ая</w:t>
      </w:r>
      <w:r>
        <w:rPr>
          <w:rtl w:val="0"/>
        </w:rPr>
        <w:t xml:space="preserve"> </w:t>
      </w:r>
      <w:r>
        <w:rPr>
          <w:rtl w:val="0"/>
          <w:lang w:val="ru-RU"/>
        </w:rPr>
        <w:t>позволяет</w:t>
      </w:r>
      <w:r>
        <w:rPr>
          <w:rFonts w:hint="default"/>
          <w:rtl w:val="0"/>
          <w:lang w:val="ru-RU"/>
        </w:rPr>
        <w:t xml:space="preserve"> строить тепловые зоны новой формы</w:t>
      </w:r>
      <w:r>
        <w:rPr>
          <w:rtl w:val="0"/>
        </w:rPr>
        <w:t>. На её основе</w:t>
      </w:r>
      <w:r>
        <w:rPr>
          <w:rFonts w:hint="default"/>
          <w:rtl w:val="0"/>
          <w:lang w:val="ru-RU"/>
        </w:rPr>
        <w:t xml:space="preserve"> могут быть получены новые данные, которые будут использоваться</w:t>
      </w:r>
      <w:r>
        <w:rPr>
          <w:rtl w:val="0"/>
        </w:rPr>
        <w:t xml:space="preserve"> в обучении.</w:t>
      </w:r>
    </w:p>
    <w:p w14:paraId="0000002C">
      <w:pPr>
        <w:keepNext/>
        <w:spacing w:before="160" w:after="80"/>
        <w:ind w:firstLine="720"/>
        <w:jc w:val="left"/>
      </w:pPr>
      <w:r>
        <w:rPr>
          <w:rtl w:val="0"/>
        </w:rPr>
        <w:t>Список литературы</w:t>
      </w:r>
    </w:p>
    <w:p w14:paraId="0000002D">
      <w:pPr>
        <w:keepNext w:val="0"/>
        <w:spacing w:before="0" w:after="0"/>
      </w:pPr>
      <w:r>
        <w:rPr>
          <w:rtl w:val="0"/>
        </w:rPr>
        <w:t>1. Лосев А. Г., Левшинский В. В. Интеллектуальный анализ термометрических данных в диагностике молочных желез // Управление большими системами. 2017. Вып. 70. С. 113–135. DOI: 10.25728/ubs.2017.70.5.</w:t>
      </w:r>
    </w:p>
    <w:p w14:paraId="0000002E">
      <w:pPr>
        <w:keepNext w:val="0"/>
        <w:spacing w:before="0" w:after="0"/>
      </w:pPr>
      <w:r>
        <w:rPr>
          <w:rtl w:val="0"/>
        </w:rPr>
        <w:t>2. Лосев А. Г., Медведев И. А. Формирование обучающих наборов данных с применением подходов суррогатного моделирования // Вестник Томского государственного университета. Управление, вычислительная техника и информатика. 2026. № 75. С. 67–77. DOI: 10.17223/19988605/75/8.</w:t>
      </w:r>
    </w:p>
    <w:p w14:paraId="0945FE6E">
      <w:pPr>
        <w:keepNext w:val="0"/>
        <w:spacing w:before="0" w:after="0"/>
        <w:rPr>
          <w:rFonts w:hint="default"/>
          <w:rtl w:val="0"/>
          <w:lang w:val="ru-RU"/>
        </w:rPr>
      </w:pPr>
      <w:r>
        <w:rPr>
          <w:rtl w:val="0"/>
        </w:rPr>
        <w:t>3. Микроволновая радиотермометрия. Техника проведения РТМ-обследования молочных желез. 2008. 64 с.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DE158E"/>
    <w:rsid w:val="7049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Theme="minorHAnsi" w:hAnsiTheme="minorHAnsi" w:eastAsiaTheme="minorEastAsia" w:cstheme="minorBidi"/>
      <w:sz w:val="28"/>
      <w:szCs w:val="28"/>
      <w:lang w:val="ru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0"/>
    <w:pPr>
      <w:widowControl/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610</Words>
  <Characters>4173</Characters>
  <Lines>0</Lines>
  <Paragraphs>0</Paragraphs>
  <TotalTime>21</TotalTime>
  <ScaleCrop>false</ScaleCrop>
  <LinksUpToDate>false</LinksUpToDate>
  <CharactersWithSpaces>4717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2026-10-09T17:01:00Z</dcterms:created>
  <dc:creator>kolar</dc:creator>
  <cp:lastModifiedBy>ZERG SpLmR</cp:lastModifiedBy>
  <dcterms:modified xsi:type="dcterms:W3CDTF">2026-10-09T19:29:37Z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eyJoZGlkIjoiZjcxNGUwZDUzMWZiMmM2MzI2MzRkZjUwMGMwNmMwNDUiLCJ1c2VySWQiOiIzNDM3NzYwNDA0MTUxNiJ9</vt:lpwstr>
  </property>
  <property fmtid="{D5CDD505-2E9C-101B-9397-08002B2CF9AE}" pid="4" name="ICV">
    <vt:lpwstr>E3485714C33F4E1EA5FD8D53C2F6B402_12</vt:lpwstr>
  </property>
</Properties>
</file>