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Q’s: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do disabilities and SpEd expenditures interact and relate to achievement/graduation rates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ideas for viz: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scatterplots (or something like that) of disability (x), expenditure (y) and achievement/grad rate (z) faceted by state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geographical (i.e. overlaid on a map of the US) representation of this - do we see regions that buck the general trend, is there an urban/suburban/rural divide on any of these categories?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Documentation we’ve played with data:</w:t>
      </w:r>
      <w:r w:rsidDel="00000000" w:rsidR="00000000" w:rsidRPr="00000000">
        <w:rPr>
          <w:rtl w:val="0"/>
        </w:rPr>
        <w:t xml:space="preserve"> see final_proj_explorations.Rmd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 of datasets: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NCES_CCD_nonfiscal_district_2017_2021_disabilities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NCES_CCD_fiscal_district_2017-21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Keys to join data:</w:t>
      </w:r>
      <w:r w:rsidDel="00000000" w:rsidR="00000000" w:rsidRPr="00000000">
        <w:rPr>
          <w:rtl w:val="0"/>
        </w:rPr>
        <w:t xml:space="preserve"> if we stay at the state level this should be easy enough with the state codes key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Intended audiences: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3d scatterplots probably for policy people?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geographical for laypeople?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Intended message: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3d scatterplots: hard to say without looking at the data but I’m assuming that more expenditures are related to both increased populations of students with disabilities, and better outcomes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Geographic plot: which states/districts spend the most on students with disabilities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