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oduct-brief"/>
    <w:p>
      <w:pPr>
        <w:pStyle w:val="Heading1"/>
      </w:pPr>
      <w:r>
        <w:t xml:space="preserve">Product Brief</w:t>
      </w:r>
    </w:p>
    <w:bookmarkStart w:id="9" w:name="working-name"/>
    <w:p>
      <w:pPr>
        <w:pStyle w:val="Heading2"/>
      </w:pPr>
      <w:r>
        <w:t xml:space="preserve">Working name</w:t>
      </w:r>
    </w:p>
    <w:p>
      <w:pPr>
        <w:pStyle w:val="FirstParagraph"/>
      </w:pPr>
      <w:r>
        <w:t xml:space="preserve">Invisible Secretary (working name; product naming is not finalized).</w:t>
      </w:r>
    </w:p>
    <w:bookmarkEnd w:id="9"/>
    <w:bookmarkStart w:id="10" w:name="target-user"/>
    <w:p>
      <w:pPr>
        <w:pStyle w:val="Heading2"/>
      </w:pPr>
      <w:r>
        <w:t xml:space="preserve">Target user</w:t>
      </w:r>
    </w:p>
    <w:p>
      <w:pPr>
        <w:pStyle w:val="FirstParagraph"/>
      </w:pPr>
      <w:r>
        <w:t xml:space="preserve">Owner/operator of a small or medium-sized enterprise who coordinates people, customers, suppliers, schedules, and routine operations.</w:t>
      </w:r>
    </w:p>
    <w:bookmarkEnd w:id="10"/>
    <w:bookmarkStart w:id="11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The owner becomes the human routing layer for a continuous stream of small tasks and exceptions. They repeatedly decide who should act, what should happen next, and whether to follow up.</w:t>
      </w:r>
    </w:p>
    <w:bookmarkEnd w:id="11"/>
    <w:bookmarkStart w:id="12" w:name="value-proposition"/>
    <w:p>
      <w:pPr>
        <w:pStyle w:val="Heading2"/>
      </w:pPr>
      <w:r>
        <w:t xml:space="preserve">Value proposition</w:t>
      </w:r>
    </w:p>
    <w:p>
      <w:pPr>
        <w:pStyle w:val="FirstParagraph"/>
      </w:pPr>
      <w:r>
        <w:t xml:space="preserve">A local-first decision layer that converts routine business events and natural-language requests into appropriate actions, reduces context switching and missed follow-ups, and escalates only when owner input or authorization is required.</w:t>
      </w:r>
    </w:p>
    <w:bookmarkEnd w:id="12"/>
    <w:bookmarkStart w:id="13" w:name="product-promise"/>
    <w:p>
      <w:pPr>
        <w:pStyle w:val="Heading2"/>
      </w:pPr>
      <w:r>
        <w:t xml:space="preserve">Product promise</w:t>
      </w:r>
    </w:p>
    <w:p>
      <w:pPr>
        <w:pStyle w:val="FirstParagraph"/>
      </w:pPr>
      <w:r>
        <w:t xml:space="preserve">“Tell it what needs handling. It routes routine work to the right capability and shows you what happened.”</w:t>
      </w:r>
    </w:p>
    <w:bookmarkEnd w:id="13"/>
    <w:bookmarkStart w:id="14" w:name="user-experience-principles"/>
    <w:p>
      <w:pPr>
        <w:pStyle w:val="Heading2"/>
      </w:pPr>
      <w:r>
        <w:t xml:space="preserve">User experience principles</w:t>
      </w:r>
    </w:p>
    <w:p>
      <w:pPr>
        <w:pStyle w:val="Compact"/>
        <w:numPr>
          <w:ilvl w:val="0"/>
          <w:numId w:val="1001"/>
        </w:numPr>
      </w:pPr>
      <w:r>
        <w:t xml:space="preserve">Quiet by default: do not force a chat conversation for every event.</w:t>
      </w:r>
    </w:p>
    <w:p>
      <w:pPr>
        <w:pStyle w:val="Compact"/>
        <w:numPr>
          <w:ilvl w:val="0"/>
          <w:numId w:val="1001"/>
        </w:numPr>
      </w:pPr>
      <w:r>
        <w:t xml:space="preserve">Visible accountability: every routed action has a status and audit entry.</w:t>
      </w:r>
    </w:p>
    <w:p>
      <w:pPr>
        <w:pStyle w:val="Compact"/>
        <w:numPr>
          <w:ilvl w:val="0"/>
          <w:numId w:val="1001"/>
        </w:numPr>
      </w:pPr>
      <w:r>
        <w:t xml:space="preserve">Owner control: approvals and permissions are explicit.</w:t>
      </w:r>
    </w:p>
    <w:p>
      <w:pPr>
        <w:pStyle w:val="Compact"/>
        <w:numPr>
          <w:ilvl w:val="0"/>
          <w:numId w:val="1001"/>
        </w:numPr>
      </w:pPr>
      <w:r>
        <w:t xml:space="preserve">No false claims: simulated integrations must be clearly labeled.</w:t>
      </w:r>
    </w:p>
    <w:p>
      <w:pPr>
        <w:pStyle w:val="Compact"/>
        <w:numPr>
          <w:ilvl w:val="0"/>
          <w:numId w:val="1001"/>
        </w:numPr>
      </w:pPr>
      <w:r>
        <w:t xml:space="preserve">Local-first: prefer local inference; never silently send private data to a cloud model.</w:t>
      </w:r>
    </w:p>
    <w:p>
      <w:pPr>
        <w:pStyle w:val="Compact"/>
        <w:numPr>
          <w:ilvl w:val="0"/>
          <w:numId w:val="1001"/>
        </w:numPr>
      </w:pPr>
      <w:r>
        <w:t xml:space="preserve">Predictable: use structured outputs, validation, deterministic rules, and bounded actions.</w:t>
      </w:r>
    </w:p>
    <w:bookmarkEnd w:id="14"/>
    <w:bookmarkStart w:id="15" w:name="success-metrics-for-the-demo"/>
    <w:p>
      <w:pPr>
        <w:pStyle w:val="Heading2"/>
      </w:pPr>
      <w:r>
        <w:t xml:space="preserve">Success metrics for the demo</w:t>
      </w:r>
    </w:p>
    <w:p>
      <w:pPr>
        <w:pStyle w:val="Compact"/>
        <w:numPr>
          <w:ilvl w:val="0"/>
          <w:numId w:val="1002"/>
        </w:numPr>
      </w:pPr>
      <w:r>
        <w:t xml:space="preserve">Correct intent classification on a fixed test set.</w:t>
      </w:r>
    </w:p>
    <w:p>
      <w:pPr>
        <w:pStyle w:val="Compact"/>
        <w:numPr>
          <w:ilvl w:val="0"/>
          <w:numId w:val="1002"/>
        </w:numPr>
      </w:pPr>
      <w:r>
        <w:t xml:space="preserve">No invalid node names or schema-breaking outputs.</w:t>
      </w:r>
    </w:p>
    <w:p>
      <w:pPr>
        <w:pStyle w:val="Compact"/>
        <w:numPr>
          <w:ilvl w:val="0"/>
          <w:numId w:val="1002"/>
        </w:numPr>
      </w:pPr>
      <w:r>
        <w:t xml:space="preserve">Correct escalation for ambiguous or disallowed actions.</w:t>
      </w:r>
    </w:p>
    <w:p>
      <w:pPr>
        <w:pStyle w:val="Compact"/>
        <w:numPr>
          <w:ilvl w:val="0"/>
          <w:numId w:val="1002"/>
        </w:numPr>
      </w:pPr>
      <w:r>
        <w:t xml:space="preserve">End-to-end latency and memory usage on target hardware.</w:t>
      </w:r>
    </w:p>
    <w:p>
      <w:pPr>
        <w:pStyle w:val="Compact"/>
        <w:numPr>
          <w:ilvl w:val="0"/>
          <w:numId w:val="1002"/>
        </w:numPr>
      </w:pPr>
      <w:r>
        <w:t xml:space="preserve">A user can understand what the system did and why.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2026-10-09T19:51:21Z</dcterms:created>
  <dcterms:modified xsi:type="dcterms:W3CDTF">2026-10-09T19:51:21Z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