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ersonas-and-daily-journeys"/>
    <w:p>
      <w:pPr>
        <w:pStyle w:val="Heading1"/>
      </w:pPr>
      <w:r>
        <w:t xml:space="preserve">Personas and Daily Journeys</w:t>
      </w:r>
    </w:p>
    <w:bookmarkStart w:id="12" w:name="persona-a-sme-owneroperator"/>
    <w:p>
      <w:pPr>
        <w:pStyle w:val="Heading2"/>
      </w:pPr>
      <w:r>
        <w:t xml:space="preserve">Persona A: SME owner/operator</w:t>
      </w:r>
    </w:p>
    <w:p>
      <w:pPr>
        <w:pStyle w:val="FirstParagraph"/>
      </w:pPr>
      <w:r>
        <w:t xml:space="preserve">The owner is responsible for business continuity while switching between employee issues, customer requests, suppliers, sales, finance, and scheduling.</w:t>
      </w:r>
    </w:p>
    <w:bookmarkStart w:id="9" w:name="typical-daily-friction"/>
    <w:p>
      <w:pPr>
        <w:pStyle w:val="Heading3"/>
      </w:pPr>
      <w:r>
        <w:t xml:space="preserve">Typical daily friction</w:t>
      </w:r>
    </w:p>
    <w:p>
      <w:pPr>
        <w:pStyle w:val="Compact"/>
        <w:numPr>
          <w:ilvl w:val="0"/>
          <w:numId w:val="1001"/>
        </w:numPr>
      </w:pPr>
      <w:r>
        <w:t xml:space="preserve">Messages and requests arrive from several channels.</w:t>
      </w:r>
    </w:p>
    <w:p>
      <w:pPr>
        <w:pStyle w:val="Compact"/>
        <w:numPr>
          <w:ilvl w:val="0"/>
          <w:numId w:val="1001"/>
        </w:numPr>
      </w:pPr>
      <w:r>
        <w:t xml:space="preserve">Employee questions interrupt planned work.</w:t>
      </w:r>
    </w:p>
    <w:p>
      <w:pPr>
        <w:pStyle w:val="Compact"/>
        <w:numPr>
          <w:ilvl w:val="0"/>
          <w:numId w:val="1001"/>
        </w:numPr>
      </w:pPr>
      <w:r>
        <w:t xml:space="preserve">Supplier and customer follow-ups are easy to forget.</w:t>
      </w:r>
    </w:p>
    <w:p>
      <w:pPr>
        <w:pStyle w:val="Compact"/>
        <w:numPr>
          <w:ilvl w:val="0"/>
          <w:numId w:val="1001"/>
        </w:numPr>
      </w:pPr>
      <w:r>
        <w:t xml:space="preserve">Tasks have unclear ownership or deadlines.</w:t>
      </w:r>
    </w:p>
    <w:p>
      <w:pPr>
        <w:pStyle w:val="Compact"/>
        <w:numPr>
          <w:ilvl w:val="0"/>
          <w:numId w:val="1001"/>
        </w:numPr>
      </w:pPr>
      <w:r>
        <w:t xml:space="preserve">The owner must decide what is urgent and what can wait.</w:t>
      </w:r>
    </w:p>
    <w:p>
      <w:pPr>
        <w:pStyle w:val="Compact"/>
        <w:numPr>
          <w:ilvl w:val="0"/>
          <w:numId w:val="1001"/>
        </w:numPr>
      </w:pPr>
      <w:r>
        <w:t xml:space="preserve">Information is fragmented across messaging, email, calendars, spreadsheets, and business tools.</w:t>
      </w:r>
    </w:p>
    <w:bookmarkEnd w:id="9"/>
    <w:bookmarkStart w:id="10" w:name="core-need"/>
    <w:p>
      <w:pPr>
        <w:pStyle w:val="Heading3"/>
      </w:pPr>
      <w:r>
        <w:t xml:space="preserve">Core need</w:t>
      </w:r>
    </w:p>
    <w:p>
      <w:pPr>
        <w:pStyle w:val="FirstParagraph"/>
      </w:pPr>
      <w:r>
        <w:t xml:space="preserve">The business should keep moving without requiring the owner to make every small coordination decision.</w:t>
      </w:r>
    </w:p>
    <w:bookmarkEnd w:id="10"/>
    <w:bookmarkStart w:id="11" w:name="first-use-cases"/>
    <w:p>
      <w:pPr>
        <w:pStyle w:val="Heading3"/>
      </w:pPr>
      <w:r>
        <w:t xml:space="preserve">First use cases</w:t>
      </w:r>
    </w:p>
    <w:p>
      <w:pPr>
        <w:pStyle w:val="Compact"/>
        <w:numPr>
          <w:ilvl w:val="0"/>
          <w:numId w:val="1002"/>
        </w:numPr>
      </w:pPr>
      <w:r>
        <w:t xml:space="preserve">Follow up with a supplier who has not confirmed a delivery.</w:t>
      </w:r>
    </w:p>
    <w:p>
      <w:pPr>
        <w:pStyle w:val="Compact"/>
        <w:numPr>
          <w:ilvl w:val="0"/>
          <w:numId w:val="1002"/>
        </w:numPr>
      </w:pPr>
      <w:r>
        <w:t xml:space="preserve">Check or propose a schedule change.</w:t>
      </w:r>
    </w:p>
    <w:p>
      <w:pPr>
        <w:pStyle w:val="Compact"/>
        <w:numPr>
          <w:ilvl w:val="0"/>
          <w:numId w:val="1002"/>
        </w:numPr>
      </w:pPr>
      <w:r>
        <w:t xml:space="preserve">Triage a customer request and route it to the right queue/person.</w:t>
      </w:r>
    </w:p>
    <w:bookmarkEnd w:id="11"/>
    <w:bookmarkEnd w:id="12"/>
    <w:bookmarkStart w:id="13" w:name="X94a6c2e0a38f747620047eba61e35f2a6ae573e"/>
    <w:p>
      <w:pPr>
        <w:pStyle w:val="Heading2"/>
      </w:pPr>
      <w:r>
        <w:t xml:space="preserve">Persona B: Student (future profile; not MVP scope)</w:t>
      </w:r>
    </w:p>
    <w:p>
      <w:pPr>
        <w:pStyle w:val="FirstParagraph"/>
      </w:pPr>
      <w:r>
        <w:t xml:space="preserve">A student struggles with scattered deadlines, group coordination, task prioritization, and remembering what to do next. This persona is recorded as a future expansion profile, not part of the SME MVP.</w:t>
      </w:r>
    </w:p>
    <w:bookmarkEnd w:id="13"/>
    <w:bookmarkStart w:id="14" w:name="daily-journey-example"/>
    <w:p>
      <w:pPr>
        <w:pStyle w:val="Heading2"/>
      </w:pPr>
      <w:r>
        <w:t xml:space="preserve">Daily journey example</w:t>
      </w:r>
    </w:p>
    <w:p>
      <w:pPr>
        <w:pStyle w:val="Compact"/>
        <w:numPr>
          <w:ilvl w:val="0"/>
          <w:numId w:val="1003"/>
        </w:numPr>
      </w:pPr>
      <w:r>
        <w:t xml:space="preserve">An event or request arrives.</w:t>
      </w:r>
    </w:p>
    <w:p>
      <w:pPr>
        <w:pStyle w:val="Compact"/>
        <w:numPr>
          <w:ilvl w:val="0"/>
          <w:numId w:val="1003"/>
        </w:numPr>
      </w:pPr>
      <w:r>
        <w:t xml:space="preserve">The router identifies intent and extracts allowed parameters.</w:t>
      </w:r>
    </w:p>
    <w:p>
      <w:pPr>
        <w:pStyle w:val="Compact"/>
        <w:numPr>
          <w:ilvl w:val="0"/>
          <w:numId w:val="1003"/>
        </w:numPr>
      </w:pPr>
      <w:r>
        <w:t xml:space="preserve">Policy checks urgency, confidence, permissions, and action risk.</w:t>
      </w:r>
    </w:p>
    <w:p>
      <w:pPr>
        <w:pStyle w:val="Compact"/>
        <w:numPr>
          <w:ilvl w:val="0"/>
          <w:numId w:val="1003"/>
        </w:numPr>
      </w:pPr>
      <w:r>
        <w:t xml:space="preserve">The relevant node validates its own inputs.</w:t>
      </w:r>
    </w:p>
    <w:p>
      <w:pPr>
        <w:pStyle w:val="Compact"/>
        <w:numPr>
          <w:ilvl w:val="0"/>
          <w:numId w:val="1003"/>
        </w:numPr>
      </w:pPr>
      <w:r>
        <w:t xml:space="preserve">The node executes a mock or authorized action.</w:t>
      </w:r>
    </w:p>
    <w:p>
      <w:pPr>
        <w:pStyle w:val="Compact"/>
        <w:numPr>
          <w:ilvl w:val="0"/>
          <w:numId w:val="1003"/>
        </w:numPr>
      </w:pPr>
      <w:r>
        <w:t xml:space="preserve">The dashboard records the result.</w:t>
      </w:r>
    </w:p>
    <w:p>
      <w:pPr>
        <w:pStyle w:val="Compact"/>
        <w:numPr>
          <w:ilvl w:val="0"/>
          <w:numId w:val="1003"/>
        </w:numPr>
      </w:pPr>
      <w:r>
        <w:t xml:space="preserve">The owner is interrupted only for ambiguity, failure, or required approval.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2026-10-09T19:51:22Z</dcterms:created>
  <dcterms:modified xsi:type="dcterms:W3CDTF">2026-10-09T19:51:22Z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