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outer-and-node-architecture"/>
    <w:p>
      <w:pPr>
        <w:pStyle w:val="Heading1"/>
      </w:pPr>
      <w:r>
        <w:t xml:space="preserve">Router and Node Architecture</w:t>
      </w:r>
    </w:p>
    <w:bookmarkStart w:id="9" w:name="high-level-flow"/>
    <w:p>
      <w:pPr>
        <w:pStyle w:val="Heading2"/>
      </w:pPr>
      <w:r>
        <w:t xml:space="preserve">High-level flow</w:t>
      </w:r>
    </w:p>
    <w:p>
      <w:pPr>
        <w:pStyle w:val="FirstParagraph"/>
      </w:pPr>
      <w:r>
        <w:t xml:space="preserve">Input/event → normalization → local intent model → schema validation → policy gate → node adapter → result verification → activity log → UI update.</w:t>
      </w:r>
    </w:p>
    <w:bookmarkEnd w:id="9"/>
    <w:bookmarkStart w:id="13" w:name="separation-of-responsibilities"/>
    <w:p>
      <w:pPr>
        <w:pStyle w:val="Heading2"/>
      </w:pPr>
      <w:r>
        <w:t xml:space="preserve">Separation of responsibilities</w:t>
      </w:r>
    </w:p>
    <w:bookmarkStart w:id="10" w:name="local-model"/>
    <w:p>
      <w:pPr>
        <w:pStyle w:val="Heading3"/>
      </w:pPr>
      <w:r>
        <w:t xml:space="preserve">Local model</w:t>
      </w:r>
    </w:p>
    <w:p>
      <w:pPr>
        <w:pStyle w:val="Compact"/>
        <w:numPr>
          <w:ilvl w:val="0"/>
          <w:numId w:val="1001"/>
        </w:numPr>
      </w:pPr>
      <w:r>
        <w:t xml:space="preserve">Classify intent from a fixed list.</w:t>
      </w:r>
    </w:p>
    <w:p>
      <w:pPr>
        <w:pStyle w:val="Compact"/>
        <w:numPr>
          <w:ilvl w:val="0"/>
          <w:numId w:val="1001"/>
        </w:numPr>
      </w:pPr>
      <w:r>
        <w:t xml:space="preserve">Extract only schema-defined parameters.</w:t>
      </w:r>
    </w:p>
    <w:p>
      <w:pPr>
        <w:pStyle w:val="Compact"/>
        <w:numPr>
          <w:ilvl w:val="0"/>
          <w:numId w:val="1001"/>
        </w:numPr>
      </w:pPr>
      <w:r>
        <w:t xml:space="preserve">Return a structured object.</w:t>
      </w:r>
    </w:p>
    <w:p>
      <w:pPr>
        <w:pStyle w:val="Compact"/>
        <w:numPr>
          <w:ilvl w:val="0"/>
          <w:numId w:val="1001"/>
        </w:numPr>
      </w:pPr>
      <w:r>
        <w:t xml:space="preserve">It does not execute tools, grant permissions, or decide that authorization can be bypassed.</w:t>
      </w:r>
    </w:p>
    <w:bookmarkEnd w:id="10"/>
    <w:bookmarkStart w:id="11" w:name="deterministic-router"/>
    <w:p>
      <w:pPr>
        <w:pStyle w:val="Heading3"/>
      </w:pPr>
      <w:r>
        <w:t xml:space="preserve">Deterministic router</w:t>
      </w:r>
    </w:p>
    <w:p>
      <w:pPr>
        <w:pStyle w:val="Compact"/>
        <w:numPr>
          <w:ilvl w:val="0"/>
          <w:numId w:val="1002"/>
        </w:numPr>
      </w:pPr>
      <w:r>
        <w:t xml:space="preserve">Validate JSON against the schema.</w:t>
      </w:r>
    </w:p>
    <w:p>
      <w:pPr>
        <w:pStyle w:val="Compact"/>
        <w:numPr>
          <w:ilvl w:val="0"/>
          <w:numId w:val="1002"/>
        </w:numPr>
      </w:pPr>
      <w:r>
        <w:t xml:space="preserve">Reject unknown intents and node identifiers.</w:t>
      </w:r>
    </w:p>
    <w:p>
      <w:pPr>
        <w:pStyle w:val="Compact"/>
        <w:numPr>
          <w:ilvl w:val="0"/>
          <w:numId w:val="1002"/>
        </w:numPr>
      </w:pPr>
      <w:r>
        <w:t xml:space="preserve">Apply authorization and risk policies.</w:t>
      </w:r>
    </w:p>
    <w:p>
      <w:pPr>
        <w:pStyle w:val="Compact"/>
        <w:numPr>
          <w:ilvl w:val="0"/>
          <w:numId w:val="1002"/>
        </w:numPr>
      </w:pPr>
      <w:r>
        <w:t xml:space="preserve">Apply urgency rules independently of model confidence.</w:t>
      </w:r>
    </w:p>
    <w:p>
      <w:pPr>
        <w:pStyle w:val="Compact"/>
        <w:numPr>
          <w:ilvl w:val="0"/>
          <w:numId w:val="1002"/>
        </w:numPr>
      </w:pPr>
      <w:r>
        <w:t xml:space="preserve">Dispatch only to allow-listed nodes.</w:t>
      </w:r>
    </w:p>
    <w:p>
      <w:pPr>
        <w:pStyle w:val="Compact"/>
        <w:numPr>
          <w:ilvl w:val="0"/>
          <w:numId w:val="1002"/>
        </w:numPr>
      </w:pPr>
      <w:r>
        <w:t xml:space="preserve">Handle retries, timeouts, and idempotency.</w:t>
      </w:r>
    </w:p>
    <w:p>
      <w:pPr>
        <w:pStyle w:val="Compact"/>
        <w:numPr>
          <w:ilvl w:val="0"/>
          <w:numId w:val="1002"/>
        </w:numPr>
      </w:pPr>
      <w:r>
        <w:t xml:space="preserve">Log all decisions and outcomes.</w:t>
      </w:r>
    </w:p>
    <w:bookmarkEnd w:id="11"/>
    <w:bookmarkStart w:id="12" w:name="node-adapter"/>
    <w:p>
      <w:pPr>
        <w:pStyle w:val="Heading3"/>
      </w:pPr>
      <w:r>
        <w:t xml:space="preserve">Node adapter</w:t>
      </w:r>
    </w:p>
    <w:p>
      <w:pPr>
        <w:pStyle w:val="Compact"/>
        <w:numPr>
          <w:ilvl w:val="0"/>
          <w:numId w:val="1003"/>
        </w:numPr>
      </w:pPr>
      <w:r>
        <w:t xml:space="preserve">Validate required parameters.</w:t>
      </w:r>
    </w:p>
    <w:p>
      <w:pPr>
        <w:pStyle w:val="Compact"/>
        <w:numPr>
          <w:ilvl w:val="0"/>
          <w:numId w:val="1003"/>
        </w:numPr>
      </w:pPr>
      <w:r>
        <w:t xml:space="preserve">Enforce service-specific business rules.</w:t>
      </w:r>
    </w:p>
    <w:p>
      <w:pPr>
        <w:pStyle w:val="Compact"/>
        <w:numPr>
          <w:ilvl w:val="0"/>
          <w:numId w:val="1003"/>
        </w:numPr>
      </w:pPr>
      <w:r>
        <w:t xml:space="preserve">Execute a mock or real integration.</w:t>
      </w:r>
    </w:p>
    <w:p>
      <w:pPr>
        <w:pStyle w:val="Compact"/>
        <w:numPr>
          <w:ilvl w:val="0"/>
          <w:numId w:val="1003"/>
        </w:numPr>
      </w:pPr>
      <w:r>
        <w:t xml:space="preserve">Return a typed success, needs-approval, clarification, or failure result.</w:t>
      </w:r>
    </w:p>
    <w:p>
      <w:pPr>
        <w:pStyle w:val="Compact"/>
        <w:numPr>
          <w:ilvl w:val="0"/>
          <w:numId w:val="1003"/>
        </w:numPr>
      </w:pPr>
      <w:r>
        <w:t xml:space="preserve">Never assume the model’s output is correct.</w:t>
      </w:r>
    </w:p>
    <w:bookmarkEnd w:id="12"/>
    <w:bookmarkEnd w:id="13"/>
    <w:bookmarkStart w:id="14" w:name="initial-nodes"/>
    <w:p>
      <w:pPr>
        <w:pStyle w:val="Heading2"/>
      </w:pPr>
      <w:r>
        <w:t xml:space="preserve">Initial nodes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followup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scheduling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customer_request</w:t>
      </w:r>
    </w:p>
    <w:bookmarkEnd w:id="14"/>
    <w:bookmarkStart w:id="15" w:name="suggested-intent-set"/>
    <w:p>
      <w:pPr>
        <w:pStyle w:val="Heading2"/>
      </w:pPr>
      <w:r>
        <w:t xml:space="preserve">Suggested intent set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supplier_followup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customer_followup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schedule_change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customer_request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out_of_scope</w:t>
      </w:r>
    </w:p>
    <w:bookmarkEnd w:id="15"/>
    <w:bookmarkStart w:id="16" w:name="confidence-and-urgency"/>
    <w:p>
      <w:pPr>
        <w:pStyle w:val="Heading2"/>
      </w:pPr>
      <w:r>
        <w:t xml:space="preserve">Confidence and urgency</w:t>
      </w:r>
    </w:p>
    <w:p>
      <w:pPr>
        <w:pStyle w:val="Compact"/>
        <w:numPr>
          <w:ilvl w:val="0"/>
          <w:numId w:val="1006"/>
        </w:numPr>
      </w:pPr>
      <w:r>
        <w:t xml:space="preserve">Treat model confidence as a heuristic, not a calibrated probability.</w:t>
      </w:r>
    </w:p>
    <w:p>
      <w:pPr>
        <w:pStyle w:val="Compact"/>
        <w:numPr>
          <w:ilvl w:val="0"/>
          <w:numId w:val="1006"/>
        </w:numPr>
      </w:pPr>
      <w:r>
        <w:t xml:space="preserve">Calibrate thresholds against a labelled test set.</w:t>
      </w:r>
    </w:p>
    <w:p>
      <w:pPr>
        <w:pStyle w:val="Compact"/>
        <w:numPr>
          <w:ilvl w:val="0"/>
          <w:numId w:val="1006"/>
        </w:numPr>
      </w:pPr>
      <w:r>
        <w:t xml:space="preserve">Urgency is computed from explicit signals and rules; do not let a model’s urgency score override permissions.</w:t>
      </w:r>
    </w:p>
    <w:p>
      <w:pPr>
        <w:pStyle w:val="Compact"/>
        <w:numPr>
          <w:ilvl w:val="0"/>
          <w:numId w:val="1006"/>
        </w:numPr>
      </w:pPr>
      <w:r>
        <w:t xml:space="preserve">Low confidence, conflicting intent, missing required parameters, or out-of-scope requests should result in clarification or escalation.</w:t>
      </w:r>
    </w:p>
    <w:p>
      <w:pPr>
        <w:pStyle w:val="Compact"/>
        <w:numPr>
          <w:ilvl w:val="0"/>
          <w:numId w:val="1006"/>
        </w:numPr>
      </w:pPr>
      <w:r>
        <w:t xml:space="preserve">High urgency must never bypass safety or authorization.</w:t>
      </w:r>
    </w:p>
    <w:bookmarkEnd w:id="16"/>
    <w:bookmarkStart w:id="17" w:name="action-risk-levels"/>
    <w:p>
      <w:pPr>
        <w:pStyle w:val="Heading2"/>
      </w:pPr>
      <w:r>
        <w:t xml:space="preserve">Action risk levels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R0</w:t>
      </w:r>
      <w:r>
        <w:t xml:space="preserve">: classify or summarize only.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R1</w:t>
      </w:r>
      <w:r>
        <w:t xml:space="preserve">: prepare a draft or recommendation; no external side effect.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R2</w:t>
      </w:r>
      <w:r>
        <w:t xml:space="preserve">: reversible, low-impact action; require a configured permission.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R3</w:t>
      </w:r>
      <w:r>
        <w:t xml:space="preserve">: consequential action such as sending external messages, making purchases, payments, deleting data, or committing a schedule. Require explicit authorization unless the owner has separately configured a narrowly scoped policy.</w:t>
      </w:r>
    </w:p>
    <w:bookmarkEnd w:id="17"/>
    <w:bookmarkStart w:id="18" w:name="event-lifecycle"/>
    <w:p>
      <w:pPr>
        <w:pStyle w:val="Heading2"/>
      </w:pPr>
      <w:r>
        <w:t xml:space="preserve">Event lifecycle</w:t>
      </w:r>
    </w:p>
    <w:p>
      <w:pPr>
        <w:pStyle w:val="FirstParagraph"/>
      </w:pPr>
      <w:r>
        <w:rPr>
          <w:rStyle w:val="VerbatimChar"/>
        </w:rPr>
        <w:t xml:space="preserve">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classified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routed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needs_clarification</w:t>
      </w:r>
      <w:r>
        <w:t xml:space="preserve">.</w:t>
      </w:r>
    </w:p>
    <w:p>
      <w:pPr>
        <w:pStyle w:val="BodyText"/>
      </w:pPr>
      <w:r>
        <w:t xml:space="preserve">Each transition must be logged. Avoid claiming success until the node confirms it.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2026-10-09T19:51:22Z</dcterms:created>
  <dcterms:modified xsi:type="dcterms:W3CDTF">2026-10-09T19:51:22Z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