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local-model-selection-and-evaluation"/>
    <w:p>
      <w:pPr>
        <w:pStyle w:val="Heading1"/>
      </w:pPr>
      <w:r>
        <w:t xml:space="preserve">Local Model Selection and Evaluation</w:t>
      </w:r>
    </w:p>
    <w:bookmarkStart w:id="9" w:name="candidate"/>
    <w:p>
      <w:pPr>
        <w:pStyle w:val="Heading2"/>
      </w:pPr>
      <w:r>
        <w:t xml:space="preserve">Candidate</w:t>
      </w:r>
    </w:p>
    <w:p>
      <w:pPr>
        <w:pStyle w:val="FirstParagraph"/>
      </w:pPr>
      <w:r>
        <w:t xml:space="preserve">Start by benchmarking Qwen2.5-1.5B-Instruct quantized for the target device, with Qwen2.5-0.5B-Instruct as a smaller baseline. Confirm model licensing, runtime compatibility, and actual device performance before committing.</w:t>
      </w:r>
    </w:p>
    <w:bookmarkEnd w:id="9"/>
    <w:bookmarkStart w:id="10" w:name="model-role"/>
    <w:p>
      <w:pPr>
        <w:pStyle w:val="Heading2"/>
      </w:pPr>
      <w:r>
        <w:t xml:space="preserve">Model role</w:t>
      </w:r>
    </w:p>
    <w:p>
      <w:pPr>
        <w:pStyle w:val="FirstParagraph"/>
      </w:pPr>
      <w:r>
        <w:t xml:space="preserve">The model performs bounded intent classification and parameter extraction. It is not the policy engine and should not execute tools directly.</w:t>
      </w:r>
    </w:p>
    <w:bookmarkEnd w:id="10"/>
    <w:bookmarkStart w:id="11" w:name="runtime-options"/>
    <w:p>
      <w:pPr>
        <w:pStyle w:val="Heading2"/>
      </w:pPr>
      <w:r>
        <w:t xml:space="preserve">Runtime options</w:t>
      </w:r>
    </w:p>
    <w:p>
      <w:pPr>
        <w:pStyle w:val="FirstParagraph"/>
      </w:pPr>
      <w:r>
        <w:t xml:space="preserve">Choose based on target platform and measured support: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/GGUF where supported by the selected model and build.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ONNX Runtime</w:t>
      </w:r>
      <w:r>
        <w:t xml:space="preserve"> </w:t>
      </w:r>
      <w:r>
        <w:t xml:space="preserve">only if a compatible exported model and operators are available.</w:t>
      </w:r>
      <w:r>
        <w:t xml:space="preserve"> </w:t>
      </w:r>
      <w:r>
        <w:t xml:space="preserve">- Other local inference runtimes only after a working compatibility test.</w:t>
      </w:r>
    </w:p>
    <w:p>
      <w:pPr>
        <w:pStyle w:val="BodyText"/>
      </w:pPr>
      <w:r>
        <w:t xml:space="preserve">Do not assume all quantization formats or runtimes are interchangeable.</w:t>
      </w:r>
    </w:p>
    <w:bookmarkEnd w:id="11"/>
    <w:bookmarkStart w:id="12" w:name="evaluation-dataset"/>
    <w:p>
      <w:pPr>
        <w:pStyle w:val="Heading2"/>
      </w:pPr>
      <w:r>
        <w:t xml:space="preserve">Evaluation dataset</w:t>
      </w:r>
    </w:p>
    <w:p>
      <w:pPr>
        <w:pStyle w:val="FirstParagraph"/>
      </w:pPr>
      <w:r>
        <w:t xml:space="preserve">Build a labelled dataset of 200–500 realistic requests:</w:t>
      </w:r>
      <w:r>
        <w:t xml:space="preserve"> </w:t>
      </w:r>
      <w:r>
        <w:t xml:space="preserve">- clear requests for each supported intent</w:t>
      </w:r>
      <w:r>
        <w:t xml:space="preserve"> </w:t>
      </w:r>
      <w:r>
        <w:t xml:space="preserve">- paraphrases and typos</w:t>
      </w:r>
      <w:r>
        <w:t xml:space="preserve"> </w:t>
      </w:r>
      <w:r>
        <w:t xml:space="preserve">- ambiguous or incomplete requests</w:t>
      </w:r>
      <w:r>
        <w:t xml:space="preserve"> </w:t>
      </w:r>
      <w:r>
        <w:t xml:space="preserve">- multiple-intent requests</w:t>
      </w:r>
      <w:r>
        <w:t xml:space="preserve"> </w:t>
      </w:r>
      <w:r>
        <w:t xml:space="preserve">- out-of-scope requests</w:t>
      </w:r>
      <w:r>
        <w:t xml:space="preserve"> </w:t>
      </w:r>
      <w:r>
        <w:t xml:space="preserve">- adversarial instructions embedded in user content</w:t>
      </w:r>
      <w:r>
        <w:t xml:space="preserve"> </w:t>
      </w:r>
      <w:r>
        <w:t xml:space="preserve">- requests for actions that require approval</w:t>
      </w:r>
    </w:p>
    <w:bookmarkEnd w:id="12"/>
    <w:bookmarkStart w:id="13" w:name="metrics"/>
    <w:p>
      <w:pPr>
        <w:pStyle w:val="Heading2"/>
      </w:pPr>
      <w:r>
        <w:t xml:space="preserve">Metrics</w:t>
      </w:r>
    </w:p>
    <w:p>
      <w:pPr>
        <w:pStyle w:val="Compact"/>
        <w:numPr>
          <w:ilvl w:val="0"/>
          <w:numId w:val="1001"/>
        </w:numPr>
      </w:pPr>
      <w:r>
        <w:t xml:space="preserve">Intent accuracy and per-class precision/recall.</w:t>
      </w:r>
    </w:p>
    <w:p>
      <w:pPr>
        <w:pStyle w:val="Compact"/>
        <w:numPr>
          <w:ilvl w:val="0"/>
          <w:numId w:val="1001"/>
        </w:numPr>
      </w:pPr>
      <w:r>
        <w:t xml:space="preserve">Parameter exact-match or field-level accuracy.</w:t>
      </w:r>
    </w:p>
    <w:p>
      <w:pPr>
        <w:pStyle w:val="Compact"/>
        <w:numPr>
          <w:ilvl w:val="0"/>
          <w:numId w:val="1001"/>
        </w:numPr>
      </w:pPr>
      <w:r>
        <w:t xml:space="preserve">Invalid JSON/schema rate.</w:t>
      </w:r>
    </w:p>
    <w:p>
      <w:pPr>
        <w:pStyle w:val="Compact"/>
        <w:numPr>
          <w:ilvl w:val="0"/>
          <w:numId w:val="1001"/>
        </w:numPr>
      </w:pPr>
      <w:r>
        <w:t xml:space="preserve">Abstention/escalation precision and recall.</w:t>
      </w:r>
    </w:p>
    <w:p>
      <w:pPr>
        <w:pStyle w:val="Compact"/>
        <w:numPr>
          <w:ilvl w:val="0"/>
          <w:numId w:val="1001"/>
        </w:numPr>
      </w:pPr>
      <w:r>
        <w:t xml:space="preserve">Unsafe routing rate; target zero in the evaluation set.</w:t>
      </w:r>
    </w:p>
    <w:p>
      <w:pPr>
        <w:pStyle w:val="Compact"/>
        <w:numPr>
          <w:ilvl w:val="0"/>
          <w:numId w:val="1001"/>
        </w:numPr>
      </w:pPr>
      <w:r>
        <w:t xml:space="preserve">Median and p95 latency.</w:t>
      </w:r>
    </w:p>
    <w:p>
      <w:pPr>
        <w:pStyle w:val="Compact"/>
        <w:numPr>
          <w:ilvl w:val="0"/>
          <w:numId w:val="1001"/>
        </w:numPr>
      </w:pPr>
      <w:r>
        <w:t xml:space="preserve">Peak RAM and model footprint.</w:t>
      </w:r>
    </w:p>
    <w:p>
      <w:pPr>
        <w:pStyle w:val="Compact"/>
        <w:numPr>
          <w:ilvl w:val="0"/>
          <w:numId w:val="1001"/>
        </w:numPr>
      </w:pPr>
      <w:r>
        <w:t xml:space="preserve">Performance under CPU-only conditions if relevant.</w:t>
      </w:r>
    </w:p>
    <w:bookmarkEnd w:id="13"/>
    <w:bookmarkStart w:id="14" w:name="selection-rule"/>
    <w:p>
      <w:pPr>
        <w:pStyle w:val="Heading2"/>
      </w:pPr>
      <w:r>
        <w:t xml:space="preserve">Selection rule</w:t>
      </w:r>
    </w:p>
    <w:p>
      <w:pPr>
        <w:pStyle w:val="FirstParagraph"/>
      </w:pPr>
      <w:r>
        <w:t xml:space="preserve">Choose the smallest model that meets the measured quality and latency requirements. If the small model is unreliable on a class, use deterministic rules for that class or require clarification rather than hiding the failure.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2026-10-09T19:51:22Z</dcterms:created>
  <dcterms:modified xsi:type="dcterms:W3CDTF">2026-10-09T19:51:22Z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