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ackathon-demo-script-2-minutes"/>
    <w:p>
      <w:pPr>
        <w:pStyle w:val="Heading1"/>
      </w:pPr>
      <w:r>
        <w:t xml:space="preserve">Hackathon Demo Script (2 Minutes)</w:t>
      </w:r>
    </w:p>
    <w:bookmarkStart w:id="9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An SME owner is coordinating a supplier delivery and customer communications.</w:t>
      </w:r>
    </w:p>
    <w:p>
      <w:pPr>
        <w:pStyle w:val="Compact"/>
        <w:numPr>
          <w:ilvl w:val="0"/>
          <w:numId w:val="1001"/>
        </w:numPr>
      </w:pPr>
      <w:r>
        <w:t xml:space="preserve">Enter: “Ask the supplier to confirm today’s delivery.”</w:t>
      </w:r>
    </w:p>
    <w:p>
      <w:pPr>
        <w:pStyle w:val="Compact"/>
        <w:numPr>
          <w:ilvl w:val="0"/>
          <w:numId w:val="1001"/>
        </w:numPr>
      </w:pPr>
      <w:r>
        <w:t xml:space="preserve">Show local intent classification:</w:t>
      </w:r>
      <w:r>
        <w:t xml:space="preserve"> </w:t>
      </w:r>
      <w:r>
        <w:rPr>
          <w:rStyle w:val="VerbatimChar"/>
        </w:rPr>
        <w:t xml:space="preserve">supplier_followup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Show policy gate and routing to the follow-up node.</w:t>
      </w:r>
    </w:p>
    <w:p>
      <w:pPr>
        <w:pStyle w:val="Compact"/>
        <w:numPr>
          <w:ilvl w:val="0"/>
          <w:numId w:val="1001"/>
        </w:numPr>
      </w:pPr>
      <w:r>
        <w:t xml:space="preserve">The node prepares a draft message. It does not send automatically.</w:t>
      </w:r>
    </w:p>
    <w:p>
      <w:pPr>
        <w:pStyle w:val="Compact"/>
        <w:numPr>
          <w:ilvl w:val="0"/>
          <w:numId w:val="1001"/>
        </w:numPr>
      </w:pPr>
      <w:r>
        <w:t xml:space="preserve">Show the approval card with recipient, message, and consequence.</w:t>
      </w:r>
    </w:p>
    <w:p>
      <w:pPr>
        <w:pStyle w:val="Compact"/>
        <w:numPr>
          <w:ilvl w:val="0"/>
          <w:numId w:val="1001"/>
        </w:numPr>
      </w:pPr>
      <w:r>
        <w:t xml:space="preserve">Approve the draft in the demo environment.</w:t>
      </w:r>
    </w:p>
    <w:p>
      <w:pPr>
        <w:pStyle w:val="Compact"/>
        <w:numPr>
          <w:ilvl w:val="0"/>
          <w:numId w:val="1001"/>
        </w:numPr>
      </w:pPr>
      <w:r>
        <w:t xml:space="preserve">Show the confirmed result and activity log entry.</w:t>
      </w:r>
    </w:p>
    <w:p>
      <w:pPr>
        <w:pStyle w:val="Compact"/>
        <w:numPr>
          <w:ilvl w:val="0"/>
          <w:numId w:val="1001"/>
        </w:numPr>
      </w:pPr>
      <w:r>
        <w:t xml:space="preserve">Enter an ambiguous request such as “Handle the issue with the order.”</w:t>
      </w:r>
    </w:p>
    <w:p>
      <w:pPr>
        <w:pStyle w:val="Compact"/>
        <w:numPr>
          <w:ilvl w:val="0"/>
          <w:numId w:val="1001"/>
        </w:numPr>
      </w:pPr>
      <w:r>
        <w:t xml:space="preserve">Show that the router asks a clarification question rather than guessing.</w:t>
      </w:r>
    </w:p>
    <w:p>
      <w:pPr>
        <w:pStyle w:val="Compact"/>
        <w:numPr>
          <w:ilvl w:val="0"/>
          <w:numId w:val="1001"/>
        </w:numPr>
      </w:pPr>
      <w:r>
        <w:t xml:space="preserve">Finish by showing the three nodes and the local inference status.</w:t>
      </w:r>
    </w:p>
    <w:bookmarkEnd w:id="9"/>
    <w:bookmarkStart w:id="10" w:name="demo-honesty"/>
    <w:p>
      <w:pPr>
        <w:pStyle w:val="Heading2"/>
      </w:pPr>
      <w:r>
        <w:t xml:space="preserve">Demo honesty</w:t>
      </w:r>
    </w:p>
    <w:p>
      <w:pPr>
        <w:pStyle w:val="FirstParagraph"/>
      </w:pPr>
      <w:r>
        <w:t xml:space="preserve">If nodes are mocked, state that clearly. Do not present fabricated integrations, metrics, or completed external actions as real.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2026-10-09T19:51:23Z</dcterms:created>
  <dcterms:modified xsi:type="dcterms:W3CDTF">2026-10-09T19:51:23Z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