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488"/>
            <w:shd w:val="clear" w:color="auto" w:fill="1B326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100" w:after="0"/>
              <w:ind w:left="173"/>
            </w:pPr>
            <w:r>
              <w:rPr>
                <w:b/>
                <w:i w:val="0"/>
                <w:color w:val="FFFFFF"/>
                <w:sz w:val="40"/>
              </w:rPr>
              <w:t>ADS PLUS</w:t>
            </w:r>
          </w:p>
          <w:p>
            <w:pPr>
              <w:spacing w:before="20" w:after="80"/>
              <w:ind w:left="173"/>
            </w:pPr>
            <w:r>
              <w:rPr>
                <w:b w:val="0"/>
                <w:i/>
                <w:color w:val="C9A023"/>
                <w:sz w:val="18"/>
              </w:rPr>
              <w:t>Streamlining Arid West Wetland Delineation Through Mobile AI</w:t>
            </w:r>
          </w:p>
        </w:tc>
        <w:tc>
          <w:tcPr>
            <w:tcW w:type="dxa" w:w="2592"/>
            <w:shd w:val="clear" w:color="auto" w:fill="1B326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100" w:after="20"/>
              <w:jc w:val="right"/>
            </w:pPr>
            <w:r>
              <w:rPr>
                <w:b w:val="0"/>
                <w:i w:val="0"/>
                <w:color w:val="FFFFFF"/>
                <w:sz w:val="15"/>
              </w:rPr>
              <w:t>USACE Regulatory Program</w:t>
            </w:r>
          </w:p>
          <w:p>
            <w:pPr>
              <w:spacing w:before="0" w:after="20"/>
              <w:jc w:val="right"/>
            </w:pPr>
            <w:r>
              <w:rPr>
                <w:b w:val="0"/>
                <w:i w:val="0"/>
                <w:color w:val="FFFFFF"/>
                <w:sz w:val="15"/>
              </w:rPr>
              <w:t>Arid West Region</w:t>
            </w:r>
          </w:p>
          <w:p>
            <w:pPr>
              <w:spacing w:before="0" w:after="80"/>
              <w:jc w:val="right"/>
            </w:pPr>
            <w:r>
              <w:rPr>
                <w:b/>
                <w:i w:val="0"/>
                <w:color w:val="C9A023"/>
                <w:sz w:val="15"/>
              </w:rPr>
              <w:t>June 2026</w:t>
            </w:r>
          </w:p>
        </w:tc>
      </w:tr>
    </w:tbl>
    <w:p>
      <w:pPr>
        <w:spacing w:before="0" w:after="60"/>
        <w:pBdr>
          <w:bottom w:val="single" w:sz="8" w:space="0" w:color="C9A023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1B326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" w:after="40"/>
              <w:ind w:left="144"/>
            </w:pPr>
            <w:r>
              <w:rPr>
                <w:b/>
                <w:i w:val="0"/>
                <w:color w:val="FFFFFF"/>
                <w:sz w:val="18"/>
              </w:rPr>
              <w:t>THE PROBLEM — Administrative Overhead in a Multi-Tool Regulatory Workflow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" w:after="40" w:line="240" w:lineRule="exact"/>
              <w:ind w:left="115"/>
            </w:pPr>
            <w:r>
              <w:rPr>
                <w:b w:val="0"/>
                <w:i w:val="0"/>
                <w:sz w:val="18"/>
              </w:rPr>
              <w:t xml:space="preserve">USACE regulatory staff conducting wetland delineations in the Arid West currently navigate three separate tools across two environments: </w:t>
            </w:r>
            <w:r>
              <w:rPr>
                <w:b/>
                <w:i w:val="0"/>
                <w:sz w:val="18"/>
              </w:rPr>
              <w:t xml:space="preserve">Survey 123 </w:t>
            </w:r>
            <w:r>
              <w:rPr>
                <w:b w:val="0"/>
                <w:i w:val="0"/>
                <w:sz w:val="19"/>
              </w:rPr>
              <w:t xml:space="preserve">for field data entry, the </w:t>
            </w:r>
            <w:r>
              <w:rPr>
                <w:b/>
                <w:i w:val="0"/>
                <w:sz w:val="18"/>
              </w:rPr>
              <w:t xml:space="preserve">National Regulatory Viewer (NRV) </w:t>
            </w:r>
            <w:r>
              <w:rPr>
                <w:b w:val="0"/>
                <w:i w:val="0"/>
                <w:sz w:val="19"/>
              </w:rPr>
              <w:t xml:space="preserve">for transfer, and the </w:t>
            </w:r>
            <w:r>
              <w:rPr>
                <w:b/>
                <w:i w:val="0"/>
                <w:sz w:val="18"/>
              </w:rPr>
              <w:t xml:space="preserve">ADS Excel workbook </w:t>
            </w:r>
            <w:r>
              <w:rPr>
                <w:b w:val="0"/>
                <w:i w:val="0"/>
                <w:sz w:val="19"/>
              </w:rPr>
              <w:t>for inference and form output. This fragmented pipeline creates compounding inefficiencies that directly impact mission delivery and data quality.</w:t>
            </w:r>
          </w:p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1B3260"/>
                <w:sz w:val="18"/>
              </w:rPr>
              <w:t xml:space="preserve">▸ </w:t>
            </w:r>
            <w:r>
              <w:rPr>
                <w:b/>
                <w:i w:val="0"/>
                <w:color w:val="1B3260"/>
                <w:sz w:val="18"/>
              </w:rPr>
              <w:t xml:space="preserve">Post-field re-entry burden: </w:t>
            </w:r>
            <w:r>
              <w:rPr>
                <w:b w:val="0"/>
                <w:i w:val="0"/>
                <w:sz w:val="18"/>
              </w:rPr>
              <w:t>Data from Survey 123 must be manually transferred through the NRV into the ADS before any inference is available — requiring return to the office after every field session.</w:t>
            </w:r>
          </w:p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1B3260"/>
                <w:sz w:val="18"/>
              </w:rPr>
              <w:t xml:space="preserve">▸ </w:t>
            </w:r>
            <w:r>
              <w:rPr>
                <w:b/>
                <w:i w:val="0"/>
                <w:color w:val="1B3260"/>
                <w:sz w:val="18"/>
              </w:rPr>
              <w:t xml:space="preserve">Silent data contradictions: </w:t>
            </w:r>
            <w:r>
              <w:rPr>
                <w:b w:val="0"/>
                <w:i w:val="0"/>
                <w:sz w:val="18"/>
              </w:rPr>
              <w:t>Indicator selections made in Survey 123 can conflict with ADS auto-inference on the same data. No flag, no alert, no reconciliation step exists on the final ENG Form 6116-1.</w:t>
            </w:r>
          </w:p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1B3260"/>
                <w:sz w:val="18"/>
              </w:rPr>
              <w:t xml:space="preserve">▸ </w:t>
            </w:r>
            <w:r>
              <w:rPr>
                <w:b/>
                <w:i w:val="0"/>
                <w:color w:val="1B3260"/>
                <w:sz w:val="18"/>
              </w:rPr>
              <w:t xml:space="preserve">Formula fragility: </w:t>
            </w:r>
            <w:r>
              <w:rPr>
                <w:b w:val="0"/>
                <w:i w:val="0"/>
                <w:sz w:val="18"/>
              </w:rPr>
              <w:t>The ADS Excel formula network can be corrupted by routine operations (copy-paste, data entry) — producing incorrect determinations with no user-visible warning.</w:t>
            </w:r>
          </w:p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1B3260"/>
                <w:sz w:val="18"/>
              </w:rPr>
              <w:t xml:space="preserve">▸ </w:t>
            </w:r>
            <w:r>
              <w:rPr>
                <w:b/>
                <w:i w:val="0"/>
                <w:color w:val="1B3260"/>
                <w:sz w:val="18"/>
              </w:rPr>
              <w:t xml:space="preserve">Zero field guidance: </w:t>
            </w:r>
            <w:r>
              <w:rPr>
                <w:b w:val="0"/>
                <w:i w:val="0"/>
                <w:sz w:val="18"/>
              </w:rPr>
              <w:t>Neither tool explains why an indicator fires or fails. Delineators work without a real-time QC or reference system in the field.</w:t>
            </w:r>
          </w:p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1B3260"/>
                <w:sz w:val="18"/>
              </w:rPr>
              <w:t xml:space="preserve">▸ </w:t>
            </w:r>
            <w:r>
              <w:rPr>
                <w:b/>
                <w:i w:val="0"/>
                <w:color w:val="1B3260"/>
                <w:sz w:val="18"/>
              </w:rPr>
              <w:t xml:space="preserve">No camera integration: </w:t>
            </w:r>
            <w:r>
              <w:rPr>
                <w:b w:val="0"/>
                <w:i w:val="0"/>
                <w:sz w:val="18"/>
              </w:rPr>
              <w:t>Soil color requires a physical Munsell chart, carried separately, read subjectively under variable lighting — a significant source of inter-observer error.</w:t>
            </w:r>
          </w:p>
        </w:tc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" w:after="40"/>
              <w:ind w:left="115"/>
            </w:pPr>
            <w:r>
              <w:rPr>
                <w:b/>
                <w:i w:val="0"/>
                <w:color w:val="1B3260"/>
                <w:sz w:val="17"/>
              </w:rPr>
              <w:t>CURRENT WORKFLOW</w:t>
            </w:r>
          </w:p>
          <w:p>
            <w:pPr>
              <w:spacing w:before="60" w:after="0" w:line="240" w:lineRule="exact"/>
              <w:ind w:left="115"/>
            </w:pPr>
            <w:r>
              <w:rPr>
                <w:b/>
                <w:i w:val="0"/>
                <w:color w:val="787878"/>
                <w:sz w:val="14"/>
              </w:rPr>
              <w:t xml:space="preserve">FIELD  </w:t>
            </w:r>
            <w:r>
              <w:rPr>
                <w:b/>
                <w:i w:val="0"/>
                <w:color w:val="1B3260"/>
                <w:sz w:val="19"/>
              </w:rPr>
              <w:t>Survey 123 (Esri)</w:t>
            </w:r>
          </w:p>
          <w:p>
            <w:pPr>
              <w:spacing w:before="0" w:after="0" w:line="220" w:lineRule="exact"/>
              <w:ind w:left="317"/>
            </w:pPr>
            <w:r>
              <w:rPr>
                <w:b w:val="0"/>
                <w:i/>
                <w:color w:val="A01E1E"/>
                <w:sz w:val="16"/>
              </w:rPr>
              <w:t>↳ Mobile entry — no inference, no QC, no guidance</w:t>
            </w:r>
          </w:p>
          <w:p>
            <w:pPr>
              <w:spacing w:before="0" w:after="0"/>
              <w:ind w:left="259"/>
            </w:pPr>
            <w:r>
              <w:rPr>
                <w:b w:val="0"/>
                <w:i w:val="0"/>
                <w:color w:val="787878"/>
                <w:sz w:val="18"/>
              </w:rPr>
              <w:t>↓</w:t>
            </w:r>
          </w:p>
          <w:p>
            <w:pPr>
              <w:spacing w:before="60" w:after="0" w:line="240" w:lineRule="exact"/>
              <w:ind w:left="115"/>
            </w:pPr>
            <w:r>
              <w:rPr>
                <w:b/>
                <w:i w:val="0"/>
                <w:color w:val="787878"/>
                <w:sz w:val="14"/>
              </w:rPr>
              <w:t xml:space="preserve">OFFICE  </w:t>
            </w:r>
            <w:r>
              <w:rPr>
                <w:b/>
                <w:i w:val="0"/>
                <w:color w:val="1B3260"/>
                <w:sz w:val="19"/>
              </w:rPr>
              <w:t>NRV Upload</w:t>
            </w:r>
          </w:p>
          <w:p>
            <w:pPr>
              <w:spacing w:before="0" w:after="0" w:line="220" w:lineRule="exact"/>
              <w:ind w:left="317"/>
            </w:pPr>
            <w:r>
              <w:rPr>
                <w:b w:val="0"/>
                <w:i/>
                <w:color w:val="A01E1E"/>
                <w:sz w:val="16"/>
              </w:rPr>
              <w:t>↳ Manual post-field data transfer — connectivity required</w:t>
            </w:r>
          </w:p>
          <w:p>
            <w:pPr>
              <w:spacing w:before="0" w:after="0"/>
              <w:ind w:left="259"/>
            </w:pPr>
            <w:r>
              <w:rPr>
                <w:b w:val="0"/>
                <w:i w:val="0"/>
                <w:color w:val="787878"/>
                <w:sz w:val="18"/>
              </w:rPr>
              <w:t>↓</w:t>
            </w:r>
          </w:p>
          <w:p>
            <w:pPr>
              <w:spacing w:before="60" w:after="0" w:line="240" w:lineRule="exact"/>
              <w:ind w:left="115"/>
            </w:pPr>
            <w:r>
              <w:rPr>
                <w:b/>
                <w:i w:val="0"/>
                <w:color w:val="787878"/>
                <w:sz w:val="14"/>
              </w:rPr>
              <w:t xml:space="preserve">OFFICE  </w:t>
            </w:r>
            <w:r>
              <w:rPr>
                <w:b/>
                <w:i w:val="0"/>
                <w:color w:val="1B3260"/>
                <w:sz w:val="19"/>
              </w:rPr>
              <w:t>ADS Excel Workbook</w:t>
            </w:r>
          </w:p>
          <w:p>
            <w:pPr>
              <w:spacing w:before="0" w:after="0" w:line="220" w:lineRule="exact"/>
              <w:ind w:left="317"/>
            </w:pPr>
            <w:r>
              <w:rPr>
                <w:b w:val="0"/>
                <w:i/>
                <w:color w:val="A01E1E"/>
                <w:sz w:val="16"/>
              </w:rPr>
              <w:t>↳ Inference &amp; PDF — laptop required, formula-fragile</w:t>
            </w:r>
          </w:p>
          <w:p>
            <w:pPr>
              <w:spacing w:before="0" w:after="0"/>
              <w:ind w:left="259"/>
            </w:pPr>
            <w:r>
              <w:rPr>
                <w:b w:val="0"/>
                <w:i w:val="0"/>
                <w:color w:val="787878"/>
                <w:sz w:val="18"/>
              </w:rPr>
              <w:t>↓</w:t>
            </w:r>
          </w:p>
          <w:p>
            <w:pPr>
              <w:spacing w:before="60" w:after="0" w:line="240" w:lineRule="exact"/>
              <w:ind w:left="115"/>
            </w:pPr>
            <w:r>
              <w:rPr>
                <w:b/>
                <w:i w:val="0"/>
                <w:color w:val="787878"/>
                <w:sz w:val="14"/>
              </w:rPr>
              <w:t xml:space="preserve">OUTPUT  </w:t>
            </w:r>
            <w:r>
              <w:rPr>
                <w:b/>
                <w:i w:val="0"/>
                <w:color w:val="1B3260"/>
                <w:sz w:val="19"/>
              </w:rPr>
              <w:t>ENG Form 6116-1 via NRV</w:t>
            </w:r>
          </w:p>
          <w:p>
            <w:pPr>
              <w:spacing w:before="0" w:after="0" w:line="220" w:lineRule="exact"/>
              <w:ind w:left="317"/>
            </w:pPr>
            <w:r>
              <w:rPr>
                <w:b w:val="0"/>
                <w:i/>
                <w:color w:val="A01E1E"/>
                <w:sz w:val="16"/>
              </w:rPr>
              <w:t>↳ Risk of Survey 123 / ADS data contradiction on final form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4B5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" w:after="40"/>
              <w:ind w:left="144"/>
            </w:pPr>
            <w:r>
              <w:rPr>
                <w:b/>
                <w:i w:val="0"/>
                <w:color w:val="FFFFFF"/>
                <w:sz w:val="18"/>
              </w:rPr>
              <w:t>THE AI-POWERED SOLUTION — ADS Plus</w:t>
            </w:r>
          </w:p>
        </w:tc>
      </w:tr>
    </w:tbl>
    <w:p>
      <w:pPr>
        <w:spacing w:before="40" w:after="40" w:line="240" w:lineRule="exact"/>
        <w:ind w:left="115"/>
      </w:pPr>
      <w:r>
        <w:rPr>
          <w:b/>
          <w:i w:val="0"/>
          <w:sz w:val="18"/>
        </w:rPr>
        <w:t xml:space="preserve">ADS Plus </w:t>
      </w:r>
      <w:r>
        <w:rPr>
          <w:b w:val="0"/>
          <w:i w:val="0"/>
          <w:sz w:val="18"/>
        </w:rPr>
        <w:t>is a browser-based, offline-capable application that consolidates the entire three-factor wetland delineation workflow — vegetation, hydric soils, and hydrology — into a single HTML file running on any smartphone, tablet, or laptop with no installation, server, or internet connection required.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4B5320"/>
                <w:sz w:val="18"/>
              </w:rPr>
              <w:t xml:space="preserve">▸ </w:t>
            </w:r>
            <w:r>
              <w:rPr>
                <w:b/>
                <w:i w:val="0"/>
                <w:color w:val="4B5320"/>
                <w:sz w:val="18"/>
              </w:rPr>
              <w:t xml:space="preserve">AI Camera — Color Correction Matrix (CCM): </w:t>
            </w:r>
            <w:r>
              <w:rPr>
                <w:b w:val="0"/>
                <w:i w:val="0"/>
                <w:sz w:val="18"/>
              </w:rPr>
              <w:t>A printed reference card with known Lab values enables real-time least-squares regression to derive a per-frame 3×3 Color Correction Matrix, correcting camera spectral response for any field lighting. Replaces subjective physical Munsell chart reading.</w:t>
            </w:r>
          </w:p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4B5320"/>
                <w:sz w:val="18"/>
              </w:rPr>
              <w:t xml:space="preserve">▸ </w:t>
            </w:r>
            <w:r>
              <w:rPr>
                <w:b/>
                <w:i w:val="0"/>
                <w:color w:val="4B5320"/>
                <w:sz w:val="18"/>
              </w:rPr>
              <w:t xml:space="preserve">AI Camera — Automated Redox Detection (SoilAnalyzeCapture): </w:t>
            </w:r>
            <w:r>
              <w:rPr>
                <w:b w:val="0"/>
                <w:i w:val="0"/>
                <w:sz w:val="18"/>
              </w:rPr>
              <w:t>K-means++ clustering (K=6) partitions the full color distribution of a ped face. Clusters are matched to Munsell chips via CIE76 ΔE. Concentrations classified by USDA Table A1 contrast; depletions by absolute Munsell chroma. Outputs matrix color, feature type, Munsell notation, and % area from a single photograph — a capability with no equivalent in any existing USACE field tool.</w:t>
            </w:r>
          </w:p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4B5320"/>
                <w:sz w:val="18"/>
              </w:rPr>
              <w:t xml:space="preserve">▸ </w:t>
            </w:r>
            <w:r>
              <w:rPr>
                <w:b/>
                <w:i w:val="0"/>
                <w:color w:val="4B5320"/>
                <w:sz w:val="18"/>
              </w:rPr>
              <w:t xml:space="preserve">Automated Indicator Inference with Reason Strings: </w:t>
            </w:r>
            <w:r>
              <w:rPr>
                <w:b w:val="0"/>
                <w:i w:val="0"/>
                <w:sz w:val="18"/>
              </w:rPr>
              <w:t>Evaluates all applicable hydric soil and hydrology indicators from entered data, returning plain-language explanations of exactly which horizon at which depth with which measurements triggered each indicator — supporting both documentation and field training.</w:t>
            </w:r>
          </w:p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4B5320"/>
                <w:sz w:val="18"/>
              </w:rPr>
              <w:t xml:space="preserve">▸ </w:t>
            </w:r>
            <w:r>
              <w:rPr>
                <w:b/>
                <w:i w:val="0"/>
                <w:color w:val="4B5320"/>
                <w:sz w:val="18"/>
              </w:rPr>
              <w:t xml:space="preserve">Data Consistency Enforcement: </w:t>
            </w:r>
            <w:r>
              <w:rPr>
                <w:b w:val="0"/>
                <w:i w:val="0"/>
                <w:sz w:val="18"/>
              </w:rPr>
              <w:t>Real-time warnings surface when manually selected indicators conflict with entered data, LRR restrictions, above-layer chroma rules, or problematic indicator conditions — preventing the silent contradictions inherent in the multi-tool pipeline.</w:t>
            </w:r>
          </w:p>
        </w:tc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4B5320"/>
                <w:sz w:val="18"/>
              </w:rPr>
              <w:t xml:space="preserve">▸ </w:t>
            </w:r>
            <w:r>
              <w:rPr>
                <w:b/>
                <w:i w:val="0"/>
                <w:color w:val="4B5320"/>
                <w:sz w:val="18"/>
              </w:rPr>
              <w:t xml:space="preserve">In-App ENG Form 6116-1 PDF Generation: </w:t>
            </w:r>
            <w:r>
              <w:rPr>
                <w:b w:val="0"/>
                <w:i w:val="0"/>
                <w:sz w:val="18"/>
              </w:rPr>
              <w:t>A filled, print-ready data sheet generated directly within the application. Eliminates the NRV workflow step for form output entirely.</w:t>
            </w:r>
          </w:p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4B5320"/>
                <w:sz w:val="18"/>
              </w:rPr>
              <w:t xml:space="preserve">▸ </w:t>
            </w:r>
            <w:r>
              <w:rPr>
                <w:b/>
                <w:i w:val="0"/>
                <w:color w:val="4B5320"/>
                <w:sz w:val="18"/>
              </w:rPr>
              <w:t xml:space="preserve">Complete Offline Operation: </w:t>
            </w:r>
            <w:r>
              <w:rPr>
                <w:b w:val="0"/>
                <w:i w:val="0"/>
                <w:sz w:val="18"/>
              </w:rPr>
              <w:t>Single HTML file. No installation, no App Store, no server, no internet connection after initial download. All data stored locally via browser localStorage.</w:t>
            </w:r>
          </w:p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4B5320"/>
                <w:sz w:val="18"/>
              </w:rPr>
              <w:t xml:space="preserve">▸ </w:t>
            </w:r>
            <w:r>
              <w:rPr>
                <w:b/>
                <w:i w:val="0"/>
                <w:color w:val="4B5320"/>
                <w:sz w:val="18"/>
              </w:rPr>
              <w:t xml:space="preserve">Full JSON State Export: </w:t>
            </w:r>
            <w:r>
              <w:rPr>
                <w:b w:val="0"/>
                <w:i w:val="0"/>
                <w:sz w:val="18"/>
              </w:rPr>
              <w:t>Every horizon, selection, inference result, GPS coordinate, and remark exportable to a structured JSON archive — providing a complete, auditable, peer-reviewable data record.</w:t>
            </w:r>
          </w:p>
          <w:p>
            <w:pPr>
              <w:spacing w:before="40" w:after="20" w:line="240" w:lineRule="exact"/>
              <w:ind w:left="173" w:hanging="173"/>
            </w:pPr>
            <w:r>
              <w:rPr>
                <w:b/>
                <w:i w:val="0"/>
                <w:color w:val="4B5320"/>
                <w:sz w:val="18"/>
              </w:rPr>
              <w:t xml:space="preserve">▸ </w:t>
            </w:r>
            <w:r>
              <w:rPr>
                <w:b/>
                <w:i w:val="0"/>
                <w:color w:val="4B5320"/>
                <w:sz w:val="18"/>
              </w:rPr>
              <w:t xml:space="preserve">Single-Application Workflow: </w:t>
            </w:r>
            <w:r>
              <w:rPr>
                <w:b w:val="0"/>
                <w:i w:val="0"/>
                <w:sz w:val="18"/>
              </w:rPr>
              <w:t>Replaces Survey 123 → NRV → ADS → NRV entirely. Field data entry through PDF output — one app, one session, one device, zero post-field transfer.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2D4A1A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" w:after="40"/>
              <w:ind w:left="144"/>
            </w:pPr>
            <w:r>
              <w:rPr>
                <w:b/>
                <w:i w:val="0"/>
                <w:color w:val="FFFFFF"/>
                <w:sz w:val="18"/>
              </w:rPr>
              <w:t>EXPECTED IMPACT  &amp;  IMPLEMENTATION REQUIREMENTS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" w:after="40"/>
              <w:ind w:left="115"/>
            </w:pPr>
            <w:r>
              <w:rPr>
                <w:b/>
                <w:i w:val="0"/>
                <w:color w:val="4B5320"/>
                <w:sz w:val="17"/>
              </w:rPr>
              <w:t>EXPECTED IMPACT</w:t>
            </w:r>
          </w:p>
          <w:p>
            <w:pPr>
              <w:spacing w:before="40" w:after="20" w:line="240" w:lineRule="exact"/>
              <w:ind w:left="216" w:hanging="216"/>
            </w:pPr>
            <w:r>
              <w:rPr>
                <w:b/>
                <w:i w:val="0"/>
                <w:color w:val="4B5320"/>
                <w:sz w:val="18"/>
              </w:rPr>
              <w:t xml:space="preserve">• </w:t>
            </w:r>
            <w:r>
              <w:rPr>
                <w:b w:val="0"/>
                <w:i w:val="0"/>
                <w:sz w:val="18"/>
              </w:rPr>
              <w:t>Eliminates multi-step post-field pipeline; estimated 30–60 min saved per delineation point</w:t>
            </w:r>
          </w:p>
          <w:p>
            <w:pPr>
              <w:spacing w:before="40" w:after="20" w:line="240" w:lineRule="exact"/>
              <w:ind w:left="216" w:hanging="216"/>
            </w:pPr>
            <w:r>
              <w:rPr>
                <w:b/>
                <w:i w:val="0"/>
                <w:color w:val="4B5320"/>
                <w:sz w:val="18"/>
              </w:rPr>
              <w:t xml:space="preserve">• </w:t>
            </w:r>
            <w:r>
              <w:rPr>
                <w:b w:val="0"/>
                <w:i w:val="0"/>
                <w:sz w:val="18"/>
              </w:rPr>
              <w:t>Removes structural risk of cross-tool data contradictions on the ENG Form 6116-1</w:t>
            </w:r>
          </w:p>
          <w:p>
            <w:pPr>
              <w:spacing w:before="40" w:after="20" w:line="240" w:lineRule="exact"/>
              <w:ind w:left="216" w:hanging="216"/>
            </w:pPr>
            <w:r>
              <w:rPr>
                <w:b/>
                <w:i w:val="0"/>
                <w:color w:val="4B5320"/>
                <w:sz w:val="18"/>
              </w:rPr>
              <w:t xml:space="preserve">• </w:t>
            </w:r>
            <w:r>
              <w:rPr>
                <w:b w:val="0"/>
                <w:i w:val="0"/>
                <w:sz w:val="18"/>
              </w:rPr>
              <w:t>Increases technical accuracy: implements current NRCS Field Indicators 9.3 depth thresholds for F3 and F8, correcting known formula holdovers in the ADS</w:t>
            </w:r>
          </w:p>
          <w:p>
            <w:pPr>
              <w:spacing w:before="40" w:after="20" w:line="240" w:lineRule="exact"/>
              <w:ind w:left="216" w:hanging="216"/>
            </w:pPr>
            <w:r>
              <w:rPr>
                <w:b/>
                <w:i w:val="0"/>
                <w:color w:val="4B5320"/>
                <w:sz w:val="18"/>
              </w:rPr>
              <w:t xml:space="preserve">• </w:t>
            </w:r>
            <w:r>
              <w:rPr>
                <w:b w:val="0"/>
                <w:i w:val="0"/>
                <w:sz w:val="18"/>
              </w:rPr>
              <w:t>Context-aware inference explanations accelerate delineator training</w:t>
            </w:r>
          </w:p>
          <w:p>
            <w:pPr>
              <w:spacing w:before="40" w:after="20" w:line="240" w:lineRule="exact"/>
              <w:ind w:left="216" w:hanging="216"/>
            </w:pPr>
            <w:r>
              <w:rPr>
                <w:b/>
                <w:i w:val="0"/>
                <w:color w:val="4B5320"/>
                <w:sz w:val="18"/>
              </w:rPr>
              <w:t xml:space="preserve">• </w:t>
            </w:r>
            <w:r>
              <w:rPr>
                <w:b w:val="0"/>
                <w:i w:val="0"/>
                <w:sz w:val="18"/>
              </w:rPr>
              <w:t>No hardware cost beyond a government-issue smartphone or tablet</w:t>
            </w:r>
          </w:p>
        </w:tc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" w:after="40"/>
              <w:ind w:left="115"/>
            </w:pPr>
            <w:r>
              <w:rPr>
                <w:b/>
                <w:i w:val="0"/>
                <w:color w:val="1B3260"/>
                <w:sz w:val="17"/>
              </w:rPr>
              <w:t>IMPLEMENTATION REQUIREMENTS</w:t>
            </w:r>
          </w:p>
          <w:p>
            <w:pPr>
              <w:spacing w:before="20" w:after="20" w:line="240" w:lineRule="exact"/>
              <w:ind w:left="216" w:hanging="216"/>
            </w:pPr>
            <w:r>
              <w:rPr>
                <w:b/>
                <w:i w:val="0"/>
                <w:color w:val="1B3260"/>
                <w:sz w:val="18"/>
              </w:rPr>
              <w:t xml:space="preserve">• </w:t>
            </w:r>
            <w:r>
              <w:rPr>
                <w:b/>
                <w:i w:val="0"/>
                <w:sz w:val="18"/>
              </w:rPr>
              <w:t xml:space="preserve">Platform: </w:t>
            </w:r>
            <w:r>
              <w:rPr>
                <w:b w:val="0"/>
                <w:i w:val="0"/>
                <w:sz w:val="18"/>
              </w:rPr>
              <w:t>Any modern smartphone, tablet, or laptop (iOS, Android, Windows, macOS)</w:t>
            </w:r>
          </w:p>
          <w:p>
            <w:pPr>
              <w:spacing w:before="20" w:after="20" w:line="240" w:lineRule="exact"/>
              <w:ind w:left="216" w:hanging="216"/>
            </w:pPr>
            <w:r>
              <w:rPr>
                <w:b/>
                <w:i w:val="0"/>
                <w:color w:val="1B3260"/>
                <w:sz w:val="18"/>
              </w:rPr>
              <w:t xml:space="preserve">• </w:t>
            </w:r>
            <w:r>
              <w:rPr>
                <w:b/>
                <w:i w:val="0"/>
                <w:sz w:val="18"/>
              </w:rPr>
              <w:t xml:space="preserve">Distribution: </w:t>
            </w:r>
            <w:r>
              <w:rPr>
                <w:b w:val="0"/>
                <w:i w:val="0"/>
                <w:sz w:val="18"/>
              </w:rPr>
              <w:t>Single HTML file — no App Store, no installation, no configuration</w:t>
            </w:r>
          </w:p>
          <w:p>
            <w:pPr>
              <w:spacing w:before="20" w:after="20" w:line="240" w:lineRule="exact"/>
              <w:ind w:left="216" w:hanging="216"/>
            </w:pPr>
            <w:r>
              <w:rPr>
                <w:b/>
                <w:i w:val="0"/>
                <w:color w:val="1B3260"/>
                <w:sz w:val="18"/>
              </w:rPr>
              <w:t xml:space="preserve">• </w:t>
            </w:r>
            <w:r>
              <w:rPr>
                <w:b/>
                <w:i w:val="0"/>
                <w:sz w:val="18"/>
              </w:rPr>
              <w:t xml:space="preserve">Network: </w:t>
            </w:r>
            <w:r>
              <w:rPr>
                <w:b w:val="0"/>
                <w:i w:val="0"/>
                <w:sz w:val="18"/>
              </w:rPr>
              <w:t>None required for operation; one-time file transfer for initial deployment</w:t>
            </w:r>
          </w:p>
          <w:p>
            <w:pPr>
              <w:spacing w:before="20" w:after="20" w:line="240" w:lineRule="exact"/>
              <w:ind w:left="216" w:hanging="216"/>
            </w:pPr>
            <w:r>
              <w:rPr>
                <w:b/>
                <w:i w:val="0"/>
                <w:color w:val="1B3260"/>
                <w:sz w:val="18"/>
              </w:rPr>
              <w:t xml:space="preserve">• </w:t>
            </w:r>
            <w:r>
              <w:rPr>
                <w:b/>
                <w:i w:val="0"/>
                <w:sz w:val="18"/>
              </w:rPr>
              <w:t xml:space="preserve">Camera (AI modules): </w:t>
            </w:r>
            <w:r>
              <w:rPr>
                <w:b w:val="0"/>
                <w:i w:val="0"/>
                <w:sz w:val="18"/>
              </w:rPr>
              <w:t>Standard rear-facing smartphone camera with autofocus</w:t>
            </w:r>
          </w:p>
          <w:p>
            <w:pPr>
              <w:spacing w:before="20" w:after="20" w:line="240" w:lineRule="exact"/>
              <w:ind w:left="216" w:hanging="216"/>
            </w:pPr>
            <w:r>
              <w:rPr>
                <w:b/>
                <w:i w:val="0"/>
                <w:color w:val="1B3260"/>
                <w:sz w:val="18"/>
              </w:rPr>
              <w:t xml:space="preserve">• </w:t>
            </w:r>
            <w:r>
              <w:rPr>
                <w:b/>
                <w:i w:val="0"/>
                <w:sz w:val="18"/>
              </w:rPr>
              <w:t xml:space="preserve">Reference Card: </w:t>
            </w:r>
            <w:r>
              <w:rPr>
                <w:b w:val="0"/>
                <w:i w:val="0"/>
                <w:sz w:val="18"/>
              </w:rPr>
              <w:t>Printed on a standard color printer; template included in app</w:t>
            </w:r>
          </w:p>
          <w:p>
            <w:pPr>
              <w:spacing w:before="20" w:after="20" w:line="240" w:lineRule="exact"/>
              <w:ind w:left="216" w:hanging="216"/>
            </w:pPr>
            <w:r>
              <w:rPr>
                <w:b/>
                <w:i w:val="0"/>
                <w:color w:val="1B3260"/>
                <w:sz w:val="18"/>
              </w:rPr>
              <w:t xml:space="preserve">• </w:t>
            </w:r>
            <w:r>
              <w:rPr>
                <w:b/>
                <w:i w:val="0"/>
                <w:sz w:val="18"/>
              </w:rPr>
              <w:t xml:space="preserve">Approval Authority: </w:t>
            </w:r>
            <w:r>
              <w:rPr>
                <w:b w:val="0"/>
                <w:i w:val="0"/>
                <w:sz w:val="18"/>
              </w:rPr>
              <w:t>Formal adoption requires USACE Regulatory Program and HQ USACE coordination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A01E1E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" w:after="40"/>
              <w:ind w:left="144"/>
            </w:pPr>
            <w:r>
              <w:rPr>
                <w:b/>
                <w:i w:val="0"/>
                <w:color w:val="FFFFFF"/>
                <w:sz w:val="18"/>
              </w:rPr>
              <w:t>CYBERSECURITY, RECORDS MANAGEMENT &amp; POLICY COMPLIANCE</w:t>
            </w:r>
          </w:p>
        </w:tc>
      </w:tr>
    </w:tbl>
    <w:p>
      <w:pPr>
        <w:spacing w:before="40" w:after="20" w:line="240" w:lineRule="exact"/>
        <w:ind w:left="173" w:hanging="173"/>
      </w:pPr>
      <w:r>
        <w:rPr>
          <w:b/>
          <w:i w:val="0"/>
          <w:color w:val="A01E1E"/>
          <w:sz w:val="18"/>
        </w:rPr>
        <w:t xml:space="preserve">▸ </w:t>
      </w:r>
      <w:r>
        <w:rPr>
          <w:b/>
          <w:i w:val="0"/>
          <w:sz w:val="18"/>
        </w:rPr>
        <w:t xml:space="preserve">Cybersecurity (AR 25-2): </w:t>
      </w:r>
      <w:r>
        <w:rPr>
          <w:b w:val="0"/>
          <w:i w:val="0"/>
          <w:sz w:val="18"/>
        </w:rPr>
        <w:t>All data remains on-device via browser localStorage — no data transmitted to any server, cloud service, or external system. No ATO required for local browser execution.</w:t>
      </w:r>
    </w:p>
    <w:p>
      <w:pPr>
        <w:spacing w:before="40" w:after="20" w:line="240" w:lineRule="exact"/>
        <w:ind w:left="173" w:hanging="173"/>
      </w:pPr>
      <w:r>
        <w:rPr>
          <w:b/>
          <w:i w:val="0"/>
          <w:color w:val="A01E1E"/>
          <w:sz w:val="18"/>
        </w:rPr>
        <w:t xml:space="preserve">▸ </w:t>
      </w:r>
      <w:r>
        <w:rPr>
          <w:b/>
          <w:i w:val="0"/>
          <w:sz w:val="18"/>
        </w:rPr>
        <w:t xml:space="preserve">Records Management (AR 25-400-2): </w:t>
      </w:r>
      <w:r>
        <w:rPr>
          <w:b w:val="0"/>
          <w:i w:val="0"/>
          <w:sz w:val="18"/>
        </w:rPr>
        <w:t>Full JSON export provides a timestamped, auditable record of all entered data, selections, and calculated results, consistent with Army records management requirements.</w:t>
      </w:r>
    </w:p>
    <w:p>
      <w:pPr>
        <w:spacing w:before="40" w:after="20" w:line="240" w:lineRule="exact"/>
        <w:ind w:left="173" w:hanging="173"/>
      </w:pPr>
      <w:r>
        <w:rPr>
          <w:b/>
          <w:i w:val="0"/>
          <w:color w:val="A01E1E"/>
          <w:sz w:val="18"/>
        </w:rPr>
        <w:t xml:space="preserve">▸ </w:t>
      </w:r>
      <w:r>
        <w:rPr>
          <w:b/>
          <w:i w:val="0"/>
          <w:sz w:val="18"/>
        </w:rPr>
        <w:t xml:space="preserve">Privacy (DoD Privacy Program): </w:t>
      </w:r>
      <w:r>
        <w:rPr>
          <w:b w:val="0"/>
          <w:i w:val="0"/>
          <w:sz w:val="18"/>
        </w:rPr>
        <w:t>No PII collected or transmitted. GPS coordinates stored locally; included only in user-initiated exports under delineator control.</w:t>
      </w:r>
    </w:p>
    <w:p>
      <w:pPr>
        <w:spacing w:before="40" w:after="20" w:line="240" w:lineRule="exact"/>
        <w:ind w:left="173" w:hanging="173"/>
      </w:pPr>
      <w:r>
        <w:rPr>
          <w:b/>
          <w:i w:val="0"/>
          <w:color w:val="A01E1E"/>
          <w:sz w:val="18"/>
        </w:rPr>
        <w:t xml:space="preserve">▸ </w:t>
      </w:r>
      <w:r>
        <w:rPr>
          <w:b/>
          <w:i w:val="0"/>
          <w:sz w:val="18"/>
        </w:rPr>
        <w:t xml:space="preserve">AI Governance (DoD AI Strategy / EO 13960): </w:t>
      </w:r>
      <w:r>
        <w:rPr>
          <w:b w:val="0"/>
          <w:i w:val="0"/>
          <w:sz w:val="18"/>
        </w:rPr>
        <w:t>AI capabilities — CCM color correction, k-means clustering, indicator inference — are transparent, explainable, and human-supervised. The delineator reviews all results and retains final determination authority at all times.</w:t>
      </w:r>
    </w:p>
    <w:p>
      <w:pPr>
        <w:spacing w:before="40" w:after="20" w:line="240" w:lineRule="exact"/>
        <w:ind w:left="173" w:hanging="173"/>
      </w:pPr>
      <w:r>
        <w:rPr>
          <w:b/>
          <w:i w:val="0"/>
          <w:color w:val="A01E1E"/>
          <w:sz w:val="18"/>
        </w:rPr>
        <w:t xml:space="preserve">▸ </w:t>
      </w:r>
      <w:r>
        <w:rPr>
          <w:b/>
          <w:i w:val="0"/>
          <w:sz w:val="18"/>
        </w:rPr>
        <w:t xml:space="preserve">Authoritative Basis: </w:t>
      </w:r>
      <w:r>
        <w:rPr>
          <w:b w:val="0"/>
          <w:i w:val="0"/>
          <w:sz w:val="18"/>
        </w:rPr>
        <w:t>1987 USACE Wetlands Delineation Manual; Arid West Regional Supplement (2008); NRCS Field Indicators of Hydric Soils Version 9.3 (Feb 2026 errata); ENG Form 6116-1 (Sep 2024).</w:t>
      </w:r>
    </w:p>
    <w:p>
      <w:pPr>
        <w:spacing w:before="80" w:after="0"/>
        <w:jc w:val="center"/>
        <w:pBdr>
          <w:top w:val="single" w:sz="6" w:space="1" w:color="1B3260"/>
        </w:pBdr>
      </w:pPr>
      <w:r>
        <w:rPr>
          <w:b w:val="0"/>
          <w:i w:val="0"/>
          <w:color w:val="787878"/>
          <w:sz w:val="15"/>
        </w:rPr>
        <w:t>ADS Plus v15  |  USACE Arid West Regulatory Program  |  Innovation Proposal  |  June 2026  |  UNCLASSIFIED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