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多面 Rasch 模型（MFRM）分析结果专业整理报告</w:t>
      </w:r>
    </w:p>
    <w:p>
      <w:pPr>
        <w:jc w:val="center"/>
      </w:pPr>
      <w:r>
        <w:rPr>
          <w:sz w:val="22"/>
        </w:rPr>
        <w:t>MFRM 分析</w:t>
      </w:r>
    </w:p>
    <w:p>
      <w:pPr>
        <w:pStyle w:val="Heading1"/>
      </w:pPr>
      <w:r>
        <w:rPr>
          <w:color w:val="000000"/>
        </w:rPr>
        <w:t>一、报告摘要</w:t>
      </w:r>
    </w:p>
    <w:p>
      <w:pPr>
        <w:spacing w:after="120"/>
      </w:pPr>
      <w:r>
        <w:t>本报告基于 256 条评分反应，对 4 名考生、8 名评分者、2 个评分标准、4 个题目进行多面 Rasch 模型分析。</w:t>
      </w:r>
    </w:p>
    <w:p>
      <w:pPr>
        <w:spacing w:after="120"/>
      </w:pPr>
      <w:r>
        <w:t>总体拟合：观察均值 10.62，期望均值 10.62（差距 0.004），标准化残差 SD = 0.97。Rasch 测量值解释了 88.1% 的原始得分方差。</w:t>
      </w:r>
    </w:p>
    <w:p>
      <w:pPr>
        <w:spacing w:after="120"/>
      </w:pPr>
      <w:r>
        <w:t>检出 1 位评分者存在偏差：Rater8。</w:t>
      </w:r>
    </w:p>
    <w:p>
      <w:pPr>
        <w:spacing w:after="120"/>
      </w:pPr>
      <w:r>
        <w:t>等级类别功能存在问题，阈值有序 = False，建议合并评分等级后重新估计。</w:t>
      </w:r>
    </w:p>
    <w:p>
      <w:pPr>
        <w:pStyle w:val="Heading1"/>
      </w:pPr>
      <w:r>
        <w:rPr>
          <w:color w:val="000000"/>
        </w:rPr>
        <w:t>二、模型设定与输出方向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single" w:sz="4" w:space="0" w:color="000000"/>
          <w:left w:val="nil"/>
          <w:right w:val="nil"/>
          <w:insideV w:val="nil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设定项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内容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专业解释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Facets = 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考生、评分者、评分标准、题目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4 面向评分模型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Positive = 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高分代表高能力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高 logit = 高能力/宽松/容易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Non-centered = 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第 1 面不中心化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以该面为自由参考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Model = ?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评分等级结构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见等级类别诊断</w:t>
            </w:r>
          </w:p>
        </w:tc>
      </w:tr>
    </w:tbl>
    <w:p>
      <w:pPr>
        <w:pStyle w:val="Heading1"/>
      </w:pPr>
      <w:r>
        <w:rPr>
          <w:color w:val="000000"/>
        </w:rPr>
        <w:t>三、收敛控制与数据摘要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single" w:sz="4" w:space="0" w:color="000000"/>
          <w:left w:val="nil"/>
          <w:right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总反应数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256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分数范围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2-22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模型解释方差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88.1%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Subset connection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O.K.</w:t>
            </w:r>
          </w:p>
        </w:tc>
      </w:tr>
    </w:tbl>
    <w:p>
      <w:pPr>
        <w:pStyle w:val="Heading1"/>
      </w:pPr>
      <w:r>
        <w:rPr>
          <w:color w:val="000000"/>
        </w:rPr>
        <w:t>四、总体模型拟合与方差分解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single" w:sz="4" w:space="0" w:color="000000"/>
          <w:left w:val="nil"/>
          <w:right w:val="nil"/>
          <w:insideV w:val="nil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指标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数值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专业解释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观察均值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10.62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原始评分的总平均值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期望均值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10.62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模型预测的期望均值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ObsMean − ExpMean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0.0040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差距极小，模型无系统性偏差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Rasch 解释方差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88.1%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良好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标准化残差 SD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0.9726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接近理论值 1.0</w:t>
            </w:r>
          </w:p>
        </w:tc>
      </w:tr>
    </w:tbl>
    <w:p>
      <w:pPr>
        <w:pStyle w:val="Heading1"/>
      </w:pPr>
      <w:r>
        <w:rPr>
          <w:color w:val="000000"/>
        </w:rPr>
        <w:t>五、各面向测量结果</w:t>
      </w:r>
    </w:p>
    <w:p>
      <w:pPr>
        <w:pStyle w:val="Heading2"/>
      </w:pPr>
      <w:r>
        <w:rPr>
          <w:color w:val="000000"/>
        </w:rPr>
        <w:t>考生（Sep = 11.58, Rel = 0.993）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single" w:sz="4" w:space="0" w:color="000000"/>
          <w:left w:val="nil"/>
          <w:right w:val="nil"/>
          <w:insideV w:val="nil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元素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总分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ObsAvg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FairAvg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Measure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SE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Infit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Outfit</w:t>
            </w:r>
          </w:p>
        </w:tc>
      </w:tr>
      <w:tr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Student1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690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10.78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10.78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3.144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0.066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1.31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1.20</w:t>
            </w:r>
          </w:p>
        </w:tc>
      </w:tr>
      <w:tr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Student2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623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9.73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9.73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2.832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0.071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0.80</w:t>
            </w:r>
          </w:p>
        </w:tc>
      </w:tr>
      <w:tr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Student3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490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7.66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7.65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2.112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0.073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0.82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0.84</w:t>
            </w:r>
          </w:p>
        </w:tc>
      </w:tr>
      <w:tr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Student4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916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14.31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14.31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4.034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0.064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0.89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0.93</w:t>
            </w:r>
          </w:p>
        </w:tc>
      </w:tr>
    </w:tbl>
    <w:p>
      <w:pPr>
        <w:pStyle w:val="Heading2"/>
      </w:pPr>
      <w:r>
        <w:rPr>
          <w:color w:val="000000"/>
        </w:rPr>
        <w:t>评分者（Sep = 1.80, Rel = 0.765）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single" w:sz="4" w:space="0" w:color="000000"/>
          <w:left w:val="nil"/>
          <w:right w:val="nil"/>
          <w:insideV w:val="nil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元素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总分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ObsAvg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FairAvg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Measure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SE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Infit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Outfit</w:t>
            </w:r>
          </w:p>
        </w:tc>
      </w:tr>
      <w:tr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Rater1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339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10.59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10.59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0.006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0.097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1.57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1.49</w:t>
            </w:r>
          </w:p>
        </w:tc>
      </w:tr>
      <w:tr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Rater2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330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10.31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10.31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0.091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0.097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0.70</w:t>
            </w:r>
          </w:p>
        </w:tc>
      </w:tr>
      <w:tr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Rater3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343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10.72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10.71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-0.031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0.096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0.75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</w:tr>
      <w:tr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Rater4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327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10.22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10.21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0.119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0.097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0.97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0.88</w:t>
            </w:r>
          </w:p>
        </w:tc>
      </w:tr>
      <w:tr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Rater5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342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10.69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10.68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-0.022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0.096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1.42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1.39</w:t>
            </w:r>
          </w:p>
        </w:tc>
      </w:tr>
      <w:tr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Rater6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379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11.84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11.84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-0.358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0.094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1.13</w:t>
            </w:r>
          </w:p>
        </w:tc>
      </w:tr>
      <w:tr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Rater7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305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9.53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9.53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0.327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0.098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0.78</w:t>
            </w:r>
          </w:p>
        </w:tc>
      </w:tr>
      <w:tr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Rater8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354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11.06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11.06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-0.133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0.096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0.50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0.44</w:t>
            </w:r>
          </w:p>
        </w:tc>
      </w:tr>
    </w:tbl>
    <w:p>
      <w:pPr>
        <w:pStyle w:val="Heading2"/>
      </w:pPr>
      <w:r>
        <w:rPr>
          <w:color w:val="000000"/>
        </w:rPr>
        <w:t>评分标准（Sep = 1.25, Rel = 0.610）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single" w:sz="4" w:space="0" w:color="000000"/>
          <w:left w:val="nil"/>
          <w:right w:val="nil"/>
          <w:insideV w:val="nil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元素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总分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ObsAvg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FairAvg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Measure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SE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Infit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Outfit</w:t>
            </w:r>
          </w:p>
        </w:tc>
      </w:tr>
      <w:tr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comp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1336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10.44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10.43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0.055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0.048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0.99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0.96</w:t>
            </w:r>
          </w:p>
        </w:tc>
      </w:tr>
      <w:tr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inte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1383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10.80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10.80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-0.055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0.048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0.97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0.93</w:t>
            </w:r>
          </w:p>
        </w:tc>
      </w:tr>
    </w:tbl>
    <w:p>
      <w:pPr>
        <w:pStyle w:val="Heading2"/>
      </w:pPr>
      <w:r>
        <w:rPr>
          <w:color w:val="000000"/>
        </w:rPr>
        <w:t>题目（Sep = 18.11, Rel = 0.997）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single" w:sz="4" w:space="0" w:color="000000"/>
          <w:left w:val="nil"/>
          <w:right w:val="nil"/>
          <w:insideV w:val="nil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元素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总分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ObsAvg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FairAvg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Measure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SE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Infit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Outfit</w:t>
            </w:r>
          </w:p>
        </w:tc>
      </w:tr>
      <w:tr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Item1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690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10.78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10.78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-0.070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0.061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1.41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1.41</w:t>
            </w:r>
          </w:p>
        </w:tc>
      </w:tr>
      <w:tr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Item2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554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8.66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8.65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0.460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0.064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1.05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1.06</w:t>
            </w:r>
          </w:p>
        </w:tc>
      </w:tr>
      <w:tr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Item3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374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5.84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5.84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1.307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0.079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0.65</w:t>
            </w:r>
          </w:p>
        </w:tc>
      </w:tr>
      <w:tr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Item4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1101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17.20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17.20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-1.697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0.075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0.54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0.65</w:t>
            </w:r>
          </w:p>
        </w:tc>
      </w:tr>
    </w:tbl>
    <w:p>
      <w:pPr>
        <w:pStyle w:val="Heading1"/>
      </w:pPr>
      <w:r>
        <w:rPr>
          <w:color w:val="000000"/>
        </w:rPr>
        <w:t>六、评分者偏差诊断</w:t>
      </w:r>
    </w:p>
    <w:p>
      <w:pPr>
        <w:spacing w:after="120"/>
      </w:pPr>
      <w:r>
        <w:t>[集中趋势] Rater8: FairAvg=11.1, Outfit=0.44</w:t>
      </w:r>
    </w:p>
    <w:p>
      <w:pPr>
        <w:pStyle w:val="Heading1"/>
      </w:pPr>
      <w:r>
        <w:rPr>
          <w:color w:val="000000"/>
        </w:rPr>
        <w:t>七、偏差交互分析</w:t>
      </w:r>
    </w:p>
    <w:p>
      <w:pPr>
        <w:pStyle w:val="Heading2"/>
      </w:pPr>
      <w:r>
        <w:rPr>
          <w:color w:val="000000"/>
        </w:rPr>
        <w:t>Rater x Student</w:t>
      </w:r>
    </w:p>
    <w:p>
      <w:pPr>
        <w:spacing w:after="120"/>
      </w:pPr>
      <w:r>
        <w:t>检出 1 对显著偏差交互（|z| ≥ 2）：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single" w:sz="4" w:space="0" w:color="000000"/>
          <w:left w:val="nil"/>
          <w:right w:val="nil"/>
          <w:insideV w:val="nil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元素A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元素B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ObsAvg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ExpAvg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Bias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SE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z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Rater1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Student4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14.31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1.694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0.575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2.95</w:t>
            </w:r>
          </w:p>
        </w:tc>
      </w:tr>
    </w:tbl>
    <w:p>
      <w:pPr>
        <w:pStyle w:val="Heading1"/>
      </w:pPr>
      <w:r>
        <w:rPr>
          <w:color w:val="000000"/>
        </w:rPr>
        <w:t>九、异常反应记录</w:t>
      </w:r>
    </w:p>
    <w:p>
      <w:pPr>
        <w:spacing w:after="120"/>
      </w:pPr>
      <w:r>
        <w:t>未检出 |StRes| ≥ 3 的异常反应。</w:t>
      </w:r>
    </w:p>
    <w:p>
      <w:pPr>
        <w:spacing w:after="120"/>
      </w:pPr>
      <w:r>
        <w:t>注意：异常残差不直接等同于评分者偏见，应结合评分者、标准、原始评分记录综合判断。</w:t>
      </w:r>
    </w:p>
    <w:p>
      <w:pPr>
        <w:pStyle w:val="Heading1"/>
      </w:pPr>
      <w:r>
        <w:rPr>
          <w:color w:val="000000"/>
        </w:rPr>
        <w:t>十、综合结论与改进建议</w:t>
      </w:r>
    </w:p>
    <w:p>
      <w:pPr>
        <w:spacing w:after="120"/>
      </w:pPr>
      <w:r>
        <w:t>模型整体拟合良好，Rasch 测量值解释了 88.1% 的评分方差。</w:t>
      </w:r>
    </w:p>
    <w:p>
      <w:pPr>
        <w:spacing w:after="120"/>
      </w:pPr>
      <w:r>
        <w:t>考生 面向区分清晰（Sep = 11.58）。</w:t>
      </w:r>
    </w:p>
    <w:p>
      <w:pPr>
        <w:spacing w:after="120"/>
      </w:pPr>
      <w:r>
        <w:t>题目 面向区分清晰（Sep = 18.11）。</w:t>
      </w:r>
    </w:p>
    <w:p>
      <w:pPr>
        <w:spacing w:after="120"/>
      </w:pPr>
      <w:r>
        <w:t>评分等级过细，建议合并等级后重新估计。</w:t>
      </w:r>
    </w:p>
    <w:p>
      <w:pPr>
        <w:spacing w:after="120"/>
      </w:pPr>
      <w:r>
        <w:t>检出 1 位评分者存在偏差，建议结合原始评分记录进一步审查。</w:t>
      </w:r>
    </w:p>
    <w:p>
      <w:pPr>
        <w:pStyle w:val="Heading1"/>
      </w:pPr>
      <w:r>
        <w:rPr>
          <w:color w:val="000000"/>
        </w:rPr>
        <w:t>附录：统计图</w:t>
      </w:r>
    </w:p>
    <w:p>
      <w:pPr>
        <w:pStyle w:val="Heading2"/>
      </w:pPr>
      <w:r>
        <w:rPr>
          <w:color w:val="000000"/>
        </w:rPr>
        <w:t>垂直标尺图</w:t>
      </w:r>
    </w:p>
    <w:p>
      <w:r>
        <w:drawing>
          <wp:inline xmlns:a="http://schemas.openxmlformats.org/drawingml/2006/main" xmlns:pic="http://schemas.openxmlformats.org/drawingml/2006/picture">
            <wp:extent cx="5029200" cy="23791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ul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79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拟合统计量分布图</w:t>
      </w:r>
    </w:p>
    <w:p>
      <w:r>
        <w:drawing>
          <wp:inline xmlns:a="http://schemas.openxmlformats.org/drawingml/2006/main" xmlns:pic="http://schemas.openxmlformats.org/drawingml/2006/picture">
            <wp:extent cx="5029200" cy="17710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71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等级概率曲线与 ICC</w:t>
      </w:r>
    </w:p>
    <w:p>
      <w:r>
        <w:drawing>
          <wp:inline xmlns:a="http://schemas.openxmlformats.org/drawingml/2006/main" xmlns:pic="http://schemas.openxmlformats.org/drawingml/2006/picture">
            <wp:extent cx="5029200" cy="40038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038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