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 w:eastAsia="Microsoft JhengHei"/>
          <w:b/>
          <w:color w:val="1F3A5F"/>
          <w:sz w:val="40"/>
        </w:rPr>
        <w:t>台股投資競賽　週報</w:t>
      </w:r>
    </w:p>
    <w:p>
      <w:pPr>
        <w:jc w:val="center"/>
      </w:pPr>
      <w:r>
        <w:rPr>
          <w:rFonts w:ascii="Microsoft JhengHei" w:hAnsi="Microsoft JhengHei" w:eastAsia="Microsoft JhengHei"/>
          <w:b w:val="0"/>
          <w:color w:val="57606A"/>
          <w:sz w:val="20"/>
        </w:rPr>
        <w:t>2026-10-26 ~ 2026-10-30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總資產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累積報酬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持股率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累計交易筆數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累計交易標的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8,267,281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-17.33%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98.3%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90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30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30_nav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0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本週交易紀錄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日期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代號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方向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數量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均價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成交筆數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備註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2026-10-27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1000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73.0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XQ CSV 匯入・整股・委託書號 0aArQ</w:t>
            </w:r>
          </w:p>
        </w:tc>
      </w:tr>
    </w:tbl>
    <w:p/>
    <w:p>
      <w:pPr>
        <w:pStyle w:val="Heading1"/>
      </w:pPr>
      <w:r>
        <w:t>模型健康度與調整 Agent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969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指標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樣本數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實際表現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大盤隔夜跳空方向命中率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32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87.5%</w:t>
            </w:r>
          </w:p>
        </w:tc>
      </w:tr>
      <w:tr>
        <w:tc>
          <w:tcPr>
            <w:tcW w:type="dxa" w:w="39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個股隔夜跳空方向命中率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1227</w:t>
            </w:r>
          </w:p>
        </w:tc>
        <w:tc>
          <w:tcPr>
            <w:tcW w:type="dxa" w:w="2268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72.7%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一個月推薦：實際平均超額報酬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1150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+1.09%</w:t>
            </w:r>
          </w:p>
        </w:tc>
      </w:tr>
      <w:tr>
        <w:tc>
          <w:tcPr>
            <w:tcW w:type="dxa" w:w="39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一個月推薦：實際創新高比例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1150</w:t>
            </w:r>
          </w:p>
        </w:tc>
        <w:tc>
          <w:tcPr>
            <w:tcW w:type="dxa" w:w="2268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45.6%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  <w:sz w:val="19"/>
        </w:rPr>
        <w:t>一個月模型滾動回測（4 段時間外樣本）：AUC 0.889；模型前 20 名一個月內創新高比例 86.3%（全市場基準 30.2%）；前 20 名平均超額報酬 +6.78%（平均報酬 +8.67%，同期市場中位數 +1.89%）。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測試期間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AUC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基準創高率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前20名創高率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前20名超額報酬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2025-10-01 ~ 2025-12-29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0.917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22.7%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85.0%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+7.11%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2025-12-30 ~ 2026-04-07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0.884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36.8%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92.9%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+11.23%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2026-04-08 ~ 2026-07-02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0.877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45.5%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92.9%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+8.45%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2026-07-03 ~ 2026-09-29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0.876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15.8%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74.6%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+0.32%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  <w:sz w:val="18"/>
        </w:rPr>
        <w:t>注意：股票池以目前流動性篩選，回測存在存活者偏誤，實際表現可能低於回測。</w:t>
      </w:r>
    </w:p>
    <w:p>
      <w:r>
        <w:rPr>
          <w:rFonts w:ascii="Microsoft JhengHei" w:hAnsi="Microsoft JhengHei" w:eastAsia="Microsoft JhengHei"/>
          <w:b/>
        </w:rPr>
        <w:t>本次偵測到的失誤</w:t>
      </w:r>
    </w:p>
    <w:p>
      <w:pPr>
        <w:pStyle w:val="ListBullet"/>
      </w:pPr>
      <w:r>
        <w:rPr>
          <w:rFonts w:ascii="Microsoft JhengHei" w:hAnsi="Microsoft JhengHei" w:eastAsia="Microsoft JhengHei"/>
        </w:rPr>
        <w:t>[高] 穩健籃一個月實際收正比例 52%（模型預估 72%），低於 55% 或比預估低 15% 以上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[高] 總資產自高點 10,198,741 回落 18.9%，超過 8%</w:t>
      </w:r>
    </w:p>
    <w:p>
      <w:r>
        <w:rPr>
          <w:rFonts w:ascii="Microsoft JhengHei" w:hAnsi="Microsoft JhengHei" w:eastAsia="Microsoft JhengHei"/>
          <w:b w:val="0"/>
        </w:rPr>
        <w:t>檢討：偵測結果：穩健籃一個月實際收正比例 52%（模型預估 72%），低於 55% 或比預估低 15% 以上；總資產自高點 10,198,741 回落 18.9%，超過 8%。修正：未修改參數。</w:t>
      </w:r>
    </w:p>
    <w:p>
      <w:r>
        <w:rPr>
          <w:rFonts w:ascii="Microsoft JhengHei" w:hAnsi="Microsoft JhengHei" w:eastAsia="Microsoft JhengHei"/>
          <w:b/>
        </w:rPr>
        <w:t>近期調整紀錄</w:t>
      </w:r>
    </w:p>
    <w:p>
      <w:pPr>
        <w:pStyle w:val="ListBullet"/>
      </w:pPr>
      <w:r>
        <w:rPr>
          <w:rFonts w:ascii="Microsoft JhengHei" w:hAnsi="Microsoft JhengHei" w:eastAsia="Microsoft JhengHei"/>
        </w:rPr>
        <w:t>2026-10-09：allocation.base_offense</w:t>
      </w:r>
    </w:p>
    <w:p>
      <w:pPr>
        <w:pStyle w:val="ListBullet"/>
      </w:pPr>
      <w:r>
        <w:rPr>
          <w:rFonts w:ascii="Microsoft JhengHei" w:hAnsi="Microsoft JhengHei" w:eastAsia="Microsoft JhengHei"/>
        </w:rPr>
        <w:t>2026-10-13：daytrade</w:t>
      </w:r>
    </w:p>
    <w:p>
      <w:pPr>
        <w:pStyle w:val="ListBullet"/>
      </w:pPr>
      <w:r>
        <w:rPr>
          <w:rFonts w:ascii="Microsoft JhengHei" w:hAnsi="Microsoft JhengHei" w:eastAsia="Microsoft JhengHei"/>
        </w:rPr>
        <w:t>2026-10-15：strategy.risk_per_trade；strategy.max_weight</w:t>
      </w:r>
    </w:p>
    <w:p>
      <w:pPr>
        <w:pStyle w:val="ListBullet"/>
      </w:pPr>
      <w:r>
        <w:rPr>
          <w:rFonts w:ascii="Microsoft JhengHei" w:hAnsi="Microsoft JhengHei" w:eastAsia="Microsoft JhengHei"/>
        </w:rPr>
        <w:t>2026-10-16：strategy.risk_per_trade；strategy.max_weight</w:t>
      </w:r>
    </w:p>
    <w:p>
      <w:pPr>
        <w:pStyle w:val="ListBullet"/>
      </w:pPr>
      <w:r>
        <w:rPr>
          <w:rFonts w:ascii="Microsoft JhengHei" w:hAnsi="Microsoft JhengHei" w:eastAsia="Microsoft JhengHei"/>
        </w:rPr>
        <w:t>2026-10-16：strategy.risk_per_trade</w:t>
      </w:r>
    </w:p>
    <w:p>
      <w:pPr>
        <w:pStyle w:val="Heading1"/>
      </w:pPr>
      <w:r>
        <w:t>本週各日報告決策摘要</w:t>
      </w:r>
    </w:p>
    <w:p>
      <w:pPr>
        <w:pStyle w:val="Heading2"/>
      </w:pPr>
      <w:r>
        <w:t>2026-10-27</w:t>
      </w:r>
    </w:p>
    <w:p>
      <w:r>
        <w:rPr>
          <w:rFonts w:ascii="Microsoft JhengHei" w:hAnsi="Microsoft JhengHei" w:eastAsia="Microsoft JhengHei"/>
          <w:b w:val="0"/>
        </w:rPr>
        <w:t>模型預測加權指數開盤 +0.72%（開高），開盤後 +0.41%（續強）；樣本外方向命中率 83.5%，誤差區間約 ±0.52%。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 6182 合晶 333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 2845 遠東銀 36,071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 3189 景碩 1,639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 3591 艾笛森 20,528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 1560 中砂 1,091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 6196 帆宣 2,150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 6213 聯茂 1,000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 2103 台橡 3,000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 2360 致茂 8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買進 2885 元大金 1,494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買進 2915 潤泰全 1,675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買進 6756 威鋒電子 11,206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買進 6456 GIS-KY 15,202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買進 2069 運錩 36,496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買進 3037 欣興 970 股</w:t>
      </w:r>
    </w:p>
    <w:p>
      <w:pPr>
        <w:pStyle w:val="Heading2"/>
      </w:pPr>
      <w:r>
        <w:t>2026-10-28</w:t>
      </w:r>
    </w:p>
    <w:p>
      <w:r>
        <w:rPr>
          <w:rFonts w:ascii="Microsoft JhengHei" w:hAnsi="Microsoft JhengHei" w:eastAsia="Microsoft JhengHei"/>
          <w:b w:val="0"/>
        </w:rPr>
        <w:t>模型預測加權指數開盤 +0.73%（開高），開盤後 +0.61%（續強）；樣本外方向命中率 83.5%，誤差區間約 ±0.52%。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 5880 合庫金 24,000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 2889 國票金 40,416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 2845 遠東銀 36,071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 2915 潤泰全 7,173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 3189 景碩 1,639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 3591 艾笛森 20,528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 1560 中砂 1,091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 6196 帆宣 2,150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 6213 聯茂 1,000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 2103 台橡 3,000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 2360 致茂 8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 6182 合晶 1,000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 3037 欣興 570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買進 1736 喬山 3,298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買進 5292 華懋 1,671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買進 2885 元大金 7,986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買進 2889 國票金 39,000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買進 6221 晉泰 29,000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買進 6756 威鋒電子 9,201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買進 6456 GIS-KY 11,735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買進 2069 運錩 34,000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買進 6416 瑞祺電通 9,931 股</w:t>
      </w:r>
    </w:p>
    <w:p>
      <w:pPr>
        <w:pStyle w:val="Heading2"/>
      </w:pPr>
      <w:r>
        <w:t>2026-10-29</w:t>
      </w:r>
    </w:p>
    <w:p>
      <w:r>
        <w:rPr>
          <w:rFonts w:ascii="Microsoft JhengHei" w:hAnsi="Microsoft JhengHei" w:eastAsia="Microsoft JhengHei"/>
          <w:b w:val="0"/>
        </w:rPr>
        <w:t>模型預測加權指數開盤 +0.08%（平盤），開盤後 +0.46%（續強）；樣本外方向命中率 83.5%，誤差區間約 ±0.52%。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 5880 合庫金 24,000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 2889 國票金 40,416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 2845 遠東銀 36,071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 2915 潤泰全 7,173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 1560 中砂 1,091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 6196 帆宣 2,150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 2103 台橡 3,000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 2360 致茂 8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 6182 合晶 1,000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 3037 欣興 570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買進 1736 喬山 3,767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買進 6462 神盾 4,263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買進 2357 華碩 674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買進 2885 元大金 7,967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買進 7730 暉盛-創 4,266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買進 6456 GIS-KY 9,347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買進 3591 艾笛森 28,928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買進 6213 聯茂 319 股</w:t>
      </w:r>
    </w:p>
    <w:p>
      <w:pPr>
        <w:pStyle w:val="Heading2"/>
      </w:pPr>
      <w:r>
        <w:t>2026-10-30</w:t>
      </w:r>
    </w:p>
    <w:p>
      <w:r>
        <w:rPr>
          <w:rFonts w:ascii="Microsoft JhengHei" w:hAnsi="Microsoft JhengHei" w:eastAsia="Microsoft JhengHei"/>
          <w:b w:val="0"/>
        </w:rPr>
        <w:t>模型預測加權指數開盤 -0.26%（開低），開盤後 -0.37%（回落）；樣本外方向命中率 82.8%，誤差區間約 ±0.52%。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 3264 欣銓 333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 5880 合庫金 24,000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 2889 國票金 40,416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 2845 遠東銀 36,071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 2915 潤泰全 7,173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 3189 景碩 1,639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 3591 艾笛森 20,528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 1560 中砂 1,091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 6196 帆宣 2,150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 6213 聯茂 1,000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 2103 台橡 3,000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 2360 致茂 8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 6182 合晶 1,000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 3037 欣興 570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買進 5292 華懋 1,969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買進 6962 奕力-KY 16,000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買進 2889 國票金 45,000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買進 1615 大山 7,882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買進 3105 穩懋 2,889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買進 2850 新產 6,338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買進 6221 晉泰 44,632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買進 2069 運錩 36,000 股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F3A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