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9374F1">
      <w:pPr>
        <w:jc w:val="center"/>
        <w:rPr>
          <w:b/>
        </w:rPr>
      </w:pPr>
      <w:bookmarkStart w:id="0" w:name="_GoBack"/>
      <w:bookmarkEnd w:id="0"/>
      <w:r>
        <w:rPr>
          <w:b/>
        </w:rPr>
        <w:t>PROJECT PROPOSAL</w:t>
      </w:r>
    </w:p>
    <w:p w14:paraId="51BE9E95">
      <w:pPr>
        <w:rPr>
          <w:b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7"/>
      </w:tblGrid>
      <w:tr w14:paraId="43B4C3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6CF30BA9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Date of proposal:</w:t>
            </w:r>
          </w:p>
          <w:p w14:paraId="50C9018D">
            <w:pPr>
              <w:spacing w:before="0" w:after="0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color w:val="000000"/>
                <w:sz w:val="20"/>
                <w:szCs w:val="20"/>
              </w:rPr>
              <w:t>2026年9月24日</w:t>
            </w:r>
          </w:p>
        </w:tc>
      </w:tr>
      <w:tr w14:paraId="18486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7FCE67F1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Title:</w:t>
            </w:r>
          </w:p>
          <w:p w14:paraId="49594D21">
            <w:pPr>
              <w:spacing w:before="0" w:after="0" w:line="200" w:lineRule="auto"/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21"/>
                <w:szCs w:val="21"/>
              </w:rPr>
              <w:t>基于多模态视频与骨架特征的室内狗行为及人狗互动识别</w:t>
            </w:r>
          </w:p>
        </w:tc>
      </w:tr>
      <w:tr w14:paraId="28A4FA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28EADAE2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Group ID (As Enrolled in Canvas Class Groups):</w:t>
            </w:r>
          </w:p>
          <w:p w14:paraId="139147F4">
            <w:pPr>
              <w:rPr>
                <w:rFonts w:ascii="Arial Narrow" w:hAnsi="Arial Narrow"/>
                <w:b/>
              </w:rPr>
            </w:pPr>
          </w:p>
          <w:p w14:paraId="7A828FDE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 xml:space="preserve">Group Members (name , Student ID): </w:t>
            </w:r>
          </w:p>
          <w:p w14:paraId="57B38FE6">
            <w:pPr>
              <w:rPr>
                <w:rFonts w:ascii="Arial Narrow" w:hAnsi="Arial Narrow"/>
                <w:b/>
              </w:rPr>
            </w:pPr>
          </w:p>
          <w:p w14:paraId="020A45A8">
            <w:pPr>
              <w:rPr>
                <w:rFonts w:ascii="Arial Narrow" w:hAnsi="Arial Narrow"/>
                <w:b/>
              </w:rPr>
            </w:pPr>
          </w:p>
          <w:p w14:paraId="07E5A570">
            <w:pPr>
              <w:rPr>
                <w:rFonts w:ascii="Arial Narrow" w:hAnsi="Arial Narrow"/>
                <w:b/>
              </w:rPr>
            </w:pPr>
          </w:p>
          <w:p w14:paraId="7C4A1BA0">
            <w:pPr>
              <w:rPr>
                <w:rFonts w:ascii="Arial Narrow" w:hAnsi="Arial Narrow"/>
                <w:b/>
              </w:rPr>
            </w:pPr>
          </w:p>
          <w:p w14:paraId="397D56FE">
            <w:pPr>
              <w:rPr>
                <w:rFonts w:ascii="Arial Narrow" w:hAnsi="Arial Narrow"/>
                <w:b/>
              </w:rPr>
            </w:pPr>
          </w:p>
          <w:p w14:paraId="5E20B0C3"/>
        </w:tc>
      </w:tr>
      <w:tr w14:paraId="7D5AD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2A54740C">
            <w:pPr>
              <w:spacing w:before="0" w:after="0" w:line="200" w:lineRule="auto"/>
              <w:rPr>
                <w:rFonts w:ascii="Arial Narrow" w:hAnsi="Arial Narrow"/>
                <w:i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20"/>
                <w:szCs w:val="20"/>
              </w:rPr>
              <w:t>Sponsor/Client:</w:t>
            </w:r>
          </w:p>
          <w:p w14:paraId="73E3386A">
            <w:pPr>
              <w:spacing w:before="0" w:after="0" w:line="200" w:lineRule="auto"/>
              <w:rPr>
                <w:rFonts w:ascii="Arial Narrow" w:hAnsi="Arial Narrow"/>
                <w:i/>
              </w:rPr>
            </w:pPr>
            <w:r>
              <w:rPr>
                <w:rFonts w:ascii="Arial Narrow" w:hAnsi="Arial Narrow" w:eastAsia="微软雅黑" w:cs="Arial Narrow"/>
                <w:color w:val="000000"/>
                <w:sz w:val="19"/>
                <w:szCs w:val="19"/>
              </w:rPr>
              <w:t>不适用。本项目为课程学术项目，无外部赞助方。</w:t>
            </w:r>
          </w:p>
          <w:p w14:paraId="04D65166">
            <w:pPr>
              <w:rPr>
                <w:rFonts w:ascii="Arial Narrow" w:hAnsi="Arial Narrow"/>
                <w:i/>
              </w:rPr>
            </w:pPr>
          </w:p>
          <w:p w14:paraId="4EAD9174">
            <w:pPr>
              <w:rPr>
                <w:rFonts w:ascii="Arial Narrow" w:hAnsi="Arial Narrow"/>
                <w:i/>
              </w:rPr>
            </w:pPr>
          </w:p>
          <w:p w14:paraId="7BCDEC27">
            <w:pPr>
              <w:rPr>
                <w:rFonts w:ascii="Arial Narrow" w:hAnsi="Arial Narrow"/>
                <w:i/>
              </w:rPr>
            </w:pPr>
          </w:p>
          <w:p w14:paraId="7EF46B8D"/>
        </w:tc>
      </w:tr>
      <w:tr w14:paraId="32CDED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37254AE6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Background/Aims/Objectives:</w:t>
            </w:r>
          </w:p>
          <w:p w14:paraId="43D9DF41">
            <w:pPr>
              <w:spacing w:before="0" w:after="0" w:line="200" w:lineRule="auto"/>
              <w:rPr>
                <w:rFonts w:ascii="Arial Narrow" w:hAnsi="Arial Narrow"/>
                <w:i/>
              </w:rPr>
            </w:pPr>
            <w:r>
              <w:rPr>
                <w:rFonts w:ascii="Arial Narrow" w:hAnsi="Arial Narrow" w:eastAsia="微软雅黑" w:cs="Arial Narrow"/>
                <w:color w:val="000000"/>
                <w:sz w:val="19"/>
                <w:szCs w:val="19"/>
              </w:rPr>
              <w:t>背景：室内摄像头能够检测人和宠物，但仅依靠单帧外观很难可靠地区分吃饭与低头闻嗅、睡觉与普通躺卧、抚摸与单纯靠近等情况。本项目拟结合狗的骨架运动、RGB视频、人狗空间关系、相关物体以及可选音频信息，对狗自身行为和具体人狗互动进行联合识别。</w:t>
            </w:r>
          </w:p>
          <w:p w14:paraId="64416C00">
            <w:pPr>
              <w:spacing w:before="0" w:after="0" w:line="200" w:lineRule="auto"/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总体目标：</w:t>
            </w:r>
            <w:r>
              <w:rPr>
                <w:rFonts w:ascii="Arial Narrow" w:hAnsi="Arial Narrow" w:eastAsia="微软雅黑" w:cs="Arial Narrow"/>
                <w:color w:val="000000"/>
                <w:sz w:val="19"/>
                <w:szCs w:val="19"/>
              </w:rPr>
              <w:t>开发一个可运行的室内视频分析原型。用户上传带音频的视频后，系统输出狗行为、人狗互动类别、置信度、时间线和可视化结果。</w:t>
            </w:r>
          </w:p>
          <w:p w14:paraId="3C130B20">
            <w:pPr>
              <w:spacing w:before="0" w:after="0" w:line="200" w:lineRule="auto"/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研究目标：</w:t>
            </w:r>
            <w:r>
              <w:rPr>
                <w:rFonts w:ascii="Arial Narrow" w:hAnsi="Arial Narrow" w:eastAsia="微软雅黑" w:cs="Arial Narrow"/>
                <w:color w:val="000000"/>
                <w:sz w:val="19"/>
                <w:szCs w:val="19"/>
              </w:rPr>
              <w:t>一是验证AP-10K预训练RTMPose在室内狗视频中的适用性；二是研究狗类别专门化和少量室内数据微调是否改善姿态估计；三是训练并比较骨架、RGB及多模态行为模型；四是建立可复现的训练、评估和演示流程。</w:t>
            </w:r>
          </w:p>
          <w:p w14:paraId="7561AF8B"/>
          <w:p w14:paraId="1B184783"/>
        </w:tc>
      </w:tr>
      <w:tr w14:paraId="21A7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17" w:type="dxa"/>
          </w:tcPr>
          <w:p w14:paraId="634FA5DB">
            <w:pPr>
              <w:rPr>
                <w:rFonts w:ascii="Arial Narrow" w:hAnsi="Arial Narrow"/>
                <w:b/>
              </w:rPr>
            </w:pPr>
            <w:r>
              <w:rPr>
                <w:rFonts w:ascii="Arial Narrow" w:hAnsi="Arial Narrow"/>
                <w:b/>
              </w:rPr>
              <w:t>Project Descriptions:</w:t>
            </w:r>
          </w:p>
          <w:p w14:paraId="10271134">
            <w:pPr>
              <w:keepNext/>
              <w:spacing w:before="60" w:after="25" w:line="200" w:lineRule="auto"/>
              <w:rPr>
                <w:rFonts w:ascii="Arial Narrow" w:hAnsi="Arial Narrow"/>
                <w:i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1 项目范围</w:t>
            </w:r>
          </w:p>
          <w:p w14:paraId="15505D16">
            <w:pPr>
              <w:spacing w:before="0" w:after="0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color w:val="000000"/>
                <w:sz w:val="18"/>
                <w:szCs w:val="18"/>
              </w:rPr>
              <w:t>系统聚焦单只狗为主的室内视频。狗行为类别初步设为站立或行走、坐下、躺卧或睡眠、进食或饮水、独自玩耍和其他；人狗互动类别设为无主动互动、喂食、抚摸和共同玩耍。指令训练可在数据充足时作为扩展类别。每个视频片段可以同时具有一个狗行为标签和一个互动标签，例如狗行为为进食、互动为喂食。</w:t>
            </w:r>
          </w:p>
          <w:p w14:paraId="66CA71F9">
            <w:pPr>
              <w:keepNext/>
              <w:spacing w:before="60" w:after="25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2 数据集与标注</w:t>
            </w:r>
          </w:p>
          <w:p w14:paraId="0B3EB54B">
            <w:pPr>
              <w:keepNext/>
              <w:numPr>
                <w:ilvl w:val="0"/>
                <w:numId w:val="1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姿态数据包括APT-36K中的狗类别数据和自建数据。项目将使用AP-10K预训练的RTMPose-M作为初始模型，并利用APT-36K训练集中的狗样本进行狗姿态专门化训练。自建数据来自已获许可的视频，通过抽帧人工标注每只狗的边界框和17个关键点。训练集、验证集和测试集将按狗或完整视频划分，以避免数据泄漏。</w:t>
            </w:r>
          </w:p>
          <w:p w14:paraId="59BCD0EE">
            <w:pPr>
              <w:keepNext/>
              <w:numPr>
                <w:ilvl w:val="0"/>
                <w:numId w:val="1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姿态估计完成后，将使用RTMPose自动提取连续视频中的狗骨架序列，并为视频片段标注站立、坐下、躺卧、进食和玩耍等行为类别。人宠互动则单独标注为无互动、喂食、抚摸和共同玩耍等类别，使同一片段能够同时包含狗行为和人宠互动标签。</w:t>
            </w:r>
          </w:p>
          <w:p w14:paraId="63FD977C">
            <w:pPr>
              <w:keepNext/>
              <w:numPr>
                <w:ilvl w:val="0"/>
                <w:numId w:val="1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声音数据主要来自InterPet4D和Dog Play Pant。InterPet4D提供人宠互动音频及预提取音频特征，Dog Play Pant提供人狗共同玩耍过程中的音频和犬类发声标注。音频将与人体骨架、狗骨架和视频特征融合，辅助判断具体的人宠互动行为。</w:t>
            </w:r>
          </w:p>
          <w:p w14:paraId="4BF6B302">
            <w:pPr>
              <w:keepNext/>
              <w:spacing w:before="60" w:after="25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3 系统流程与模型设计</w:t>
            </w:r>
          </w:p>
          <w:p w14:paraId="6CD02A31">
            <w:pPr>
              <w:keepNext/>
              <w:numPr>
                <w:ilvl w:val="0"/>
                <w:numId w:val="2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检测与跟踪阶段使用RTMDet检测视频中的人和狗，并通过ByteTrack维持不同主体在连续帧中的编号。检测框用于裁剪目标区域，为后续人体和狗姿态估计提供输入。食盆和玩具检测作为辅助信息，用于区分进食、抚摸和共同玩耍等相似行为。</w:t>
            </w:r>
          </w:p>
          <w:p w14:paraId="12563D87">
            <w:pPr>
              <w:keepNext/>
              <w:numPr>
                <w:ilvl w:val="0"/>
                <w:numId w:val="2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姿态估计阶段使用RTMPose。狗姿态模型加载官方RTMPose-M AP-10K预训练权重，并使用APT-36K训练集中的狗类别数据和自建室内狗数据进行微调；人体姿态模型使用预训练的人体RTMPose。模型逐帧输出人体和狗的关键点坐标及置信度，并通过跟踪、插值和归一化生成连续骨架序列。</w:t>
            </w:r>
          </w:p>
          <w:p w14:paraId="57C85BD9">
            <w:pPr>
              <w:keepNext/>
              <w:numPr>
                <w:ilvl w:val="0"/>
                <w:numId w:val="2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 xml:space="preserve">狗行为识别以连续狗骨架作为输入，每个片段表示为 (T </w:t>
            </w: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 xml:space="preserve"> 17 </w:t>
            </w: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  <w:lang w:val="en-US" w:eastAsia="zh-CN"/>
              </w:rPr>
              <w:t>*</w:t>
            </w: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 xml:space="preserve"> 3\) 的序列，其中3分别表示横坐标、纵坐标和关键点置信度。ST-GCN用于学习狗身体各关节之间的空间关系及其随时间的变化，输出站立、坐下、躺卧、进食和玩耍等行为类别。LSTM或骨架Transformer可作为对比模型。</w:t>
            </w:r>
          </w:p>
          <w:p w14:paraId="03D4F950">
            <w:pPr>
              <w:keepNext/>
              <w:numPr>
                <w:ilvl w:val="0"/>
                <w:numId w:val="2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人狗互动识别同时使用人体骨架和狗骨架。两个骨架分支分别提取时序特征，并结合人狗中心距离、相对速度、手到狗头或身体的距离，以及狗与食盆或玩具的距离等关系特征，判断无互动、喂食、抚摸和共同玩耍等互动类别。</w:t>
            </w:r>
          </w:p>
          <w:p w14:paraId="5D2A604C">
            <w:pPr>
              <w:keepNext/>
              <w:numPr>
                <w:ilvl w:val="0"/>
                <w:numId w:val="2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音频作为人狗互动识别的辅助模态。InterPet4D和Dog Play Pant中的音频通过MERT或YAMNet提取特征，再与人体骨架、狗骨架及关系特征进行后期融合。最终分类器综合动作与声音信息输出人狗互动类别；当视频没有音频或音频质量较差时，系统仍可仅使用骨架特征完成预测。</w:t>
            </w:r>
          </w:p>
          <w:p w14:paraId="7B5171D1">
            <w:pPr>
              <w:keepNext/>
              <w:spacing w:before="60" w:after="25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4 训练策略</w:t>
            </w:r>
          </w:p>
          <w:p w14:paraId="0568976C">
            <w:pPr>
              <w:keepNext/>
              <w:numPr>
                <w:ilvl w:val="0"/>
                <w:numId w:val="3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狗姿态模型训练</w:t>
            </w:r>
          </w:p>
          <w:p w14:paraId="0B9D6925">
            <w:pPr>
              <w:keepNext/>
              <w:spacing w:before="60" w:after="25" w:line="200" w:lineRule="auto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狗姿态模型加载官方RTMPose-M AP-10K预训练权重，并使用APT-36K训练集中的狗类别数据和自建室内狗关键点数据进行微调。训练采用256×256输入、混合精度和较小批次，以适应本机8GB显存。数据增强包括水平翻转及左右关键点交换、尺度和旋转变化以及适量遮挡。验证集用于选择最佳模型，测试集仅用于最终评估。</w:t>
            </w:r>
          </w:p>
          <w:p w14:paraId="231C2C75">
            <w:pPr>
              <w:keepNext/>
              <w:numPr>
                <w:ilvl w:val="0"/>
                <w:numId w:val="3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狗行为识别模型训练</w:t>
            </w:r>
          </w:p>
          <w:p w14:paraId="26EE3F86">
            <w:pPr>
              <w:keepNext/>
              <w:spacing w:before="60" w:after="25" w:line="200" w:lineRule="auto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固定微调后的姿态模型，使用RTMDet、ByteTrack和RTMPose离线提取同一只狗的连续骨架序列，并保存为JSON或NPY文件。低置信度或短暂缺失的关键点通过掩码、插值和平滑处理。LSTM作为基础对比模型，ST-GCN作为主要模型，输入连续狗骨架序列，输出站立、坐下、躺卧、进食和玩耍等行为类别。训练采用加权交叉熵缓解类别不平衡，骨架增强包括轻微关键点噪声、随机时间裁剪、关键点遮盖和帧遮盖。</w:t>
            </w:r>
          </w:p>
          <w:p w14:paraId="4DBB72FE">
            <w:pPr>
              <w:keepNext/>
              <w:numPr>
                <w:ilvl w:val="0"/>
                <w:numId w:val="3"/>
              </w:numPr>
              <w:spacing w:before="60" w:after="25" w:line="200" w:lineRule="auto"/>
              <w:ind w:left="425" w:leftChars="0" w:hanging="425" w:firstLineChars="0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人宠互动识别模型训练</w:t>
            </w:r>
          </w:p>
          <w:p w14:paraId="06A81A6F">
            <w:pPr>
              <w:keepNext/>
              <w:spacing w:before="60" w:after="25" w:line="200" w:lineRule="auto"/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</w:pPr>
            <w:r>
              <w:rPr>
                <w:rFonts w:hint="eastAsia" w:ascii="Arial Narrow" w:hAnsi="Arial Narrow" w:eastAsia="微软雅黑" w:cs="Arial Narrow"/>
                <w:color w:val="000000"/>
                <w:sz w:val="18"/>
                <w:szCs w:val="18"/>
              </w:rPr>
              <w:t>使用预训练人体RTMPose和微调后的动物RTMPose分别提取连续人体骨架与狗骨架。双流ST-GCN分别编码两套骨架，并与人狗距离、相对速度、手到狗头或身体的距离，以及狗与食盆或玩具的距离等关系特征融合。MERT或YAMNet用于提取同步音频特征，并通过后期融合加入互动分类器，输出无互动、喂食、抚摸和共同玩耍等类别。训练采用加权交叉熵或Focal Loss，并通过随机时间偏移、音量变化和背景噪声混合增强音频数据。</w:t>
            </w:r>
          </w:p>
          <w:p w14:paraId="698E8306">
            <w:pPr>
              <w:keepNext/>
              <w:spacing w:before="60" w:after="25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微软雅黑" w:cs="Arial Narrow"/>
                <w:b/>
                <w:bCs/>
                <w:color w:val="000000"/>
                <w:sz w:val="19"/>
                <w:szCs w:val="19"/>
              </w:rPr>
              <w:t>5 实验与评估</w:t>
            </w:r>
          </w:p>
          <w:p w14:paraId="6AEB125E">
            <w:pPr>
              <w:spacing w:before="0" w:after="0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Microsoft YaHei"/>
                <w:b/>
                <w:bCs/>
                <w:sz w:val="18"/>
                <w:szCs w:val="18"/>
              </w:rPr>
              <w:t>姿态估计：</w:t>
            </w:r>
            <w:r>
              <w:rPr>
                <w:rFonts w:ascii="Arial Narrow" w:hAnsi="Arial Narrow" w:eastAsia="Microsoft YaHei"/>
                <w:sz w:val="18"/>
                <w:szCs w:val="18"/>
              </w:rPr>
              <w:t>以COCO AP、AP@0.5、AP@0.75和PCK评估整体与分部关键点，比较官方RTMPose-M、APT-36K狗类微调和加入自建数据微调三个版本。</w:t>
            </w:r>
          </w:p>
          <w:p w14:paraId="2A49D67B">
            <w:pPr>
              <w:spacing w:before="0" w:after="0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Microsoft YaHei"/>
                <w:b/>
                <w:bCs/>
                <w:sz w:val="18"/>
                <w:szCs w:val="18"/>
              </w:rPr>
              <w:t>狗行为识别：</w:t>
            </w:r>
            <w:r>
              <w:rPr>
                <w:rFonts w:ascii="Arial Narrow" w:hAnsi="Arial Narrow" w:eastAsia="Microsoft YaHei"/>
                <w:sz w:val="18"/>
                <w:szCs w:val="18"/>
              </w:rPr>
              <w:t>报告Macro F1、Balanced Accuracy、各类Precision、Recall、F1、混淆矩阵和片段级F1；比较LSTM与ST-GCN，并消融置信度、速度、缺失点处理和骨架增强。</w:t>
            </w:r>
          </w:p>
          <w:p w14:paraId="1BA072AB">
            <w:pPr>
              <w:spacing w:before="0" w:after="0" w:line="200" w:lineRule="auto"/>
              <w:rPr>
                <w:rFonts w:ascii="Arial Narrow" w:hAnsi="Arial Narrow"/>
                <w:b/>
              </w:rPr>
            </w:pPr>
            <w:r>
              <w:rPr>
                <w:rFonts w:ascii="Arial Narrow" w:hAnsi="Arial Narrow" w:eastAsia="Microsoft YaHei"/>
                <w:b/>
                <w:bCs/>
                <w:sz w:val="18"/>
                <w:szCs w:val="18"/>
              </w:rPr>
              <w:t>人宠互动识别：</w:t>
            </w:r>
            <w:r>
              <w:rPr>
                <w:rFonts w:ascii="Arial Narrow" w:hAnsi="Arial Narrow" w:eastAsia="Microsoft YaHei"/>
                <w:sz w:val="18"/>
                <w:szCs w:val="18"/>
              </w:rPr>
              <w:t>采用相同指标，对比骨架、骨架加关系特征、再融合音频三种设置。数据按狗和完整视频划分并测试未见狗或场景；分析遮挡、关键点缺失、多人多狗、物体或音频缺失及相似类别混淆。</w:t>
            </w:r>
          </w:p>
          <w:p w14:paraId="5ACB06DF">
            <w:pPr>
              <w:spacing w:before="0" w:after="0" w:line="200" w:lineRule="auto"/>
              <w:rPr>
                <w:rFonts w:ascii="Arial Narrow" w:hAnsi="Arial Narrow"/>
                <w:b/>
              </w:rPr>
            </w:pPr>
          </w:p>
          <w:p w14:paraId="6FF2B3E4">
            <w:pPr>
              <w:spacing w:before="0" w:after="0" w:line="200" w:lineRule="auto"/>
              <w:rPr>
                <w:rFonts w:ascii="Arial Narrow" w:hAnsi="Arial Narrow"/>
                <w:b/>
              </w:rPr>
            </w:pPr>
          </w:p>
          <w:p w14:paraId="7E370B22">
            <w:pPr>
              <w:spacing w:before="0" w:after="0" w:line="200" w:lineRule="auto"/>
              <w:rPr>
                <w:rFonts w:ascii="Arial Narrow" w:hAnsi="Arial Narrow"/>
                <w:b/>
              </w:rPr>
            </w:pPr>
          </w:p>
        </w:tc>
      </w:tr>
    </w:tbl>
    <w:p w14:paraId="461F9BB1">
      <w:pPr>
        <w:spacing w:before="0" w:after="0" w:line="20" w:lineRule="exact"/>
        <w:rPr>
          <w:sz w:val="2"/>
          <w:szCs w:val="2"/>
        </w:rPr>
      </w:pPr>
    </w:p>
    <w:sectPr>
      <w:headerReference r:id="rId3" w:type="default"/>
      <w:footerReference r:id="rId4" w:type="default"/>
      <w:pgSz w:w="11907" w:h="16840"/>
      <w:pgMar w:top="1440" w:right="1440" w:bottom="1440" w:left="1440" w:header="720" w:footer="720" w:gutter="0"/>
      <w:cols w:space="708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Batang">
    <w:altName w:val="Malgun Gothic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4E11AB">
    <w:pPr>
      <w:pStyle w:val="2"/>
    </w:pPr>
    <w:r>
      <w:tab/>
    </w:r>
    <w:r>
      <w:tab/>
    </w:r>
    <w:r>
      <w:drawing>
        <wp:inline distT="0" distB="0" distL="0" distR="0">
          <wp:extent cx="1592580" cy="562610"/>
          <wp:effectExtent l="0" t="0" r="0" b="0"/>
          <wp:docPr id="16" name="Picture 15" descr="Text,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5" descr="Text, logo&#10;&#10;Description automatically generated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04192" cy="56648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120C04">
    <w:pPr>
      <w:pStyle w:val="3"/>
      <w:tabs>
        <w:tab w:val="left" w:pos="6480"/>
      </w:tabs>
      <w:rPr>
        <w:rFonts w:ascii="Arial" w:hAnsi="Arial"/>
        <w:i/>
        <w:caps/>
        <w:sz w:val="16"/>
      </w:rPr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</w:p>
  <w:p w14:paraId="269C9942">
    <w:pPr>
      <w:pStyle w:val="3"/>
      <w:tabs>
        <w:tab w:val="clear" w:pos="9360"/>
      </w:tabs>
      <w:spacing w:before="60"/>
    </w:pP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 xml:space="preserve">                            </w:t>
    </w: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ab/>
    </w:r>
    <w:r>
      <w:rPr>
        <w:rFonts w:ascii="Arial" w:hAnsi="Arial"/>
        <w:i/>
        <w:caps/>
        <w:sz w:val="16"/>
      </w:rPr>
      <w:t>Filing Ref: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730D5"/>
    <w:multiLevelType w:val="singleLevel"/>
    <w:tmpl w:val="CB5730D5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29445CC"/>
    <w:multiLevelType w:val="singleLevel"/>
    <w:tmpl w:val="229445CC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8A089B8"/>
    <w:multiLevelType w:val="singleLevel"/>
    <w:tmpl w:val="38A089B8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1B0"/>
    <w:rsid w:val="00043A4F"/>
    <w:rsid w:val="00085366"/>
    <w:rsid w:val="000A7072"/>
    <w:rsid w:val="000D3FDC"/>
    <w:rsid w:val="00103DBF"/>
    <w:rsid w:val="0012305B"/>
    <w:rsid w:val="001647E3"/>
    <w:rsid w:val="001B286E"/>
    <w:rsid w:val="001C199F"/>
    <w:rsid w:val="001D6CE4"/>
    <w:rsid w:val="00225CA2"/>
    <w:rsid w:val="002366C5"/>
    <w:rsid w:val="00292AA2"/>
    <w:rsid w:val="002D5017"/>
    <w:rsid w:val="00331E1D"/>
    <w:rsid w:val="00352B1C"/>
    <w:rsid w:val="0036086B"/>
    <w:rsid w:val="00370964"/>
    <w:rsid w:val="003961B0"/>
    <w:rsid w:val="003C4344"/>
    <w:rsid w:val="003D06DD"/>
    <w:rsid w:val="003D4BB9"/>
    <w:rsid w:val="00423411"/>
    <w:rsid w:val="00433189"/>
    <w:rsid w:val="00443651"/>
    <w:rsid w:val="0045247C"/>
    <w:rsid w:val="004615F5"/>
    <w:rsid w:val="0047673D"/>
    <w:rsid w:val="00482F77"/>
    <w:rsid w:val="00491E93"/>
    <w:rsid w:val="004D2399"/>
    <w:rsid w:val="004F2318"/>
    <w:rsid w:val="00502A32"/>
    <w:rsid w:val="00545061"/>
    <w:rsid w:val="00561D7F"/>
    <w:rsid w:val="005722D8"/>
    <w:rsid w:val="005A0BAE"/>
    <w:rsid w:val="005A4893"/>
    <w:rsid w:val="00605267"/>
    <w:rsid w:val="00627D37"/>
    <w:rsid w:val="006B18F1"/>
    <w:rsid w:val="006D387F"/>
    <w:rsid w:val="006D455D"/>
    <w:rsid w:val="00775353"/>
    <w:rsid w:val="00791F13"/>
    <w:rsid w:val="00824F91"/>
    <w:rsid w:val="00826E25"/>
    <w:rsid w:val="008B2D82"/>
    <w:rsid w:val="008D2D60"/>
    <w:rsid w:val="0090003F"/>
    <w:rsid w:val="00951FAD"/>
    <w:rsid w:val="00982293"/>
    <w:rsid w:val="0098461F"/>
    <w:rsid w:val="00A25A09"/>
    <w:rsid w:val="00A47C16"/>
    <w:rsid w:val="00A84B17"/>
    <w:rsid w:val="00A86B5A"/>
    <w:rsid w:val="00A95DC6"/>
    <w:rsid w:val="00AC4258"/>
    <w:rsid w:val="00AC4FF5"/>
    <w:rsid w:val="00AF78D3"/>
    <w:rsid w:val="00B028A3"/>
    <w:rsid w:val="00B21E90"/>
    <w:rsid w:val="00B51109"/>
    <w:rsid w:val="00B54804"/>
    <w:rsid w:val="00B55AA4"/>
    <w:rsid w:val="00B85334"/>
    <w:rsid w:val="00BC4642"/>
    <w:rsid w:val="00C320BB"/>
    <w:rsid w:val="00C60290"/>
    <w:rsid w:val="00D5566B"/>
    <w:rsid w:val="00DC4CF2"/>
    <w:rsid w:val="00DC722F"/>
    <w:rsid w:val="00DD039D"/>
    <w:rsid w:val="00DD4CB2"/>
    <w:rsid w:val="00DF465C"/>
    <w:rsid w:val="00E146AF"/>
    <w:rsid w:val="00E21A58"/>
    <w:rsid w:val="00E252AB"/>
    <w:rsid w:val="00E549CF"/>
    <w:rsid w:val="00EF2C0D"/>
    <w:rsid w:val="00F677F4"/>
    <w:rsid w:val="00F72F66"/>
    <w:rsid w:val="00F9673E"/>
    <w:rsid w:val="00FB3E24"/>
    <w:rsid w:val="00FD7CC3"/>
    <w:rsid w:val="00FE7373"/>
    <w:rsid w:val="00FF05E0"/>
    <w:rsid w:val="37C44253"/>
    <w:rsid w:val="59B83A88"/>
    <w:rsid w:val="5B64289F"/>
    <w:rsid w:val="70204E28"/>
    <w:rsid w:val="72F60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Batang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0" w:semiHidden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character" w:default="1" w:styleId="6">
    <w:name w:val="Default Paragraph Font"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iPriority w:val="0"/>
    <w:pPr>
      <w:tabs>
        <w:tab w:val="center" w:pos="4680"/>
        <w:tab w:val="right" w:pos="9360"/>
      </w:tabs>
    </w:pPr>
  </w:style>
  <w:style w:type="paragraph" w:styleId="3">
    <w:name w:val="header"/>
    <w:basedOn w:val="1"/>
    <w:link w:val="9"/>
    <w:qFormat/>
    <w:uiPriority w:val="0"/>
    <w:pPr>
      <w:tabs>
        <w:tab w:val="center" w:pos="4680"/>
        <w:tab w:val="right" w:pos="9360"/>
      </w:tabs>
    </w:pPr>
  </w:style>
  <w:style w:type="table" w:styleId="5">
    <w:name w:val="Table Grid"/>
    <w:basedOn w:val="4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character" w:customStyle="1" w:styleId="9">
    <w:name w:val="Header Char"/>
    <w:basedOn w:val="6"/>
    <w:link w:val="3"/>
    <w:qFormat/>
    <w:uiPriority w:val="0"/>
    <w:rPr>
      <w:rFonts w:eastAsia="宋体"/>
      <w:sz w:val="24"/>
      <w:szCs w:val="24"/>
      <w:lang w:eastAsia="zh-CN"/>
    </w:rPr>
  </w:style>
  <w:style w:type="character" w:customStyle="1" w:styleId="10">
    <w:name w:val="Footer Char"/>
    <w:basedOn w:val="6"/>
    <w:link w:val="2"/>
    <w:uiPriority w:val="0"/>
    <w:rPr>
      <w:rFonts w:eastAsia="宋体"/>
      <w:sz w:val="24"/>
      <w:szCs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NUS</Company>
  <Pages>3</Pages>
  <Words>2410</Words>
  <Characters>2977</Characters>
  <Lines>2</Lines>
  <Paragraphs>1</Paragraphs>
  <TotalTime>66</TotalTime>
  <ScaleCrop>false</ScaleCrop>
  <LinksUpToDate>false</LinksUpToDate>
  <CharactersWithSpaces>3024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2020-02-10T09:06:00Z</dcterms:created>
  <dc:creator>ISS</dc:creator>
  <cp:lastModifiedBy>耳を倾、けて季节の花</cp:lastModifiedBy>
  <dcterms:modified xsi:type="dcterms:W3CDTF">2026-09-25T17:57:33Z</dcterms:modified>
  <dc:title>A0065868L</dc:title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eyJoZGlkIjoiZDc4ZTQ2ZGQ3Yzc1OGMzZWMwMDc1YzQxYTgxZDA5MmIiLCJ1c2VySWQiOiIzMzgwNzQzNDcifQ==</vt:lpwstr>
  </property>
  <property fmtid="{D5CDD505-2E9C-101B-9397-08002B2CF9AE}" pid="3" name="KSOProductBuildVer">
    <vt:lpwstr>2052-12.1.0.29161</vt:lpwstr>
  </property>
  <property fmtid="{D5CDD505-2E9C-101B-9397-08002B2CF9AE}" pid="4" name="ICV">
    <vt:lpwstr>5876D191711B491AA17DB6EC5BCF077B_12</vt:lpwstr>
  </property>
</Properties>
</file>