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after="120" w:before="240"/>
        <w:jc w:val="center"/>
      </w:pPr>
      <w:r>
        <w:rPr>
          <w:b/>
          <w:bCs/>
          <w:sz w:val="44"/>
          <w:szCs w:val="44"/>
        </w:rPr>
        <w:t xml:space="preserve">新型电力系统建设研究报告</w:t>
      </w:r>
    </w:p>
    <w:p>
      <w:pPr>
        <w:spacing w:after="80"/>
        <w:jc w:val="center"/>
      </w:pPr>
      <w:r>
        <w:rPr>
          <w:sz w:val="26"/>
          <w:szCs w:val="26"/>
        </w:rPr>
        <w:t xml:space="preserve">——基于国家发展改革委、国家能源局等官方政策文件的综合梳理与解读</w:t>
      </w:r>
    </w:p>
    <w:p>
      <w:pPr>
        <w:spacing w:after="240"/>
        <w:jc w:val="center"/>
      </w:pPr>
      <w:r>
        <w:rPr>
          <w:color w:val="595959"/>
          <w:sz w:val="22"/>
          <w:szCs w:val="22"/>
        </w:rPr>
        <w:t xml:space="preserve">数据截至：2026年10月</w:t>
      </w:r>
    </w:p>
    <w:p>
      <w:pPr>
        <w:pStyle w:val="Heading1"/>
      </w:pPr>
      <w:r>
        <w:t xml:space="preserve">一、报告摘要</w:t>
      </w:r>
    </w:p>
    <w:p>
      <w:pPr>
        <w:pStyle w:val="ListParagraph"/>
        <w:numPr>
          <w:ilvl w:val="0"/>
          <w:numId w:val="2"/>
        </w:numPr>
        <w:spacing w:after="80" w:line="340"/>
        <w:jc w:val="both"/>
      </w:pPr>
      <w:r>
        <w:t xml:space="preserve">顶层设计闭环成型。从《加快构建新型电力系统行动方案（2024—2027年）》起步，到《新型能源体系建设“十五五”规划》《新型电力系统建设“十五五”规划》相继印发，新型电力系统建设已由“点状试点”进入“系统推进、全面提速”阶段。</w:t>
      </w:r>
    </w:p>
    <w:p>
      <w:pPr>
        <w:pStyle w:val="ListParagraph"/>
        <w:numPr>
          <w:ilvl w:val="0"/>
          <w:numId w:val="2"/>
        </w:numPr>
        <w:spacing w:after="80" w:line="340"/>
        <w:jc w:val="both"/>
      </w:pPr>
      <w:r>
        <w:t xml:space="preserve">2030年核心目标明确。非化石能源发电量占比达到50%、成为电量主体；电力总装机54亿千瓦；电能占终端能源消费比重达到35%；全国统一电力市场体系基本建成，新型电力系统初步建成。</w:t>
      </w:r>
    </w:p>
    <w:p>
      <w:pPr>
        <w:pStyle w:val="ListParagraph"/>
        <w:numPr>
          <w:ilvl w:val="0"/>
          <w:numId w:val="2"/>
        </w:numPr>
        <w:spacing w:after="80" w:line="340"/>
        <w:jc w:val="both"/>
      </w:pPr>
      <w:r>
        <w:t xml:space="preserve">主配微协同成为电网建设主线。规划提出2030年配电网承载分布式新能源能力达9亿千瓦、西电东送规模超4.2亿千瓦、新增省间电力互济能力约4000万千瓦，主干电网、配电网、智能微电网界面清晰、运行智能、互动高效。</w:t>
      </w:r>
    </w:p>
    <w:p>
      <w:pPr>
        <w:pStyle w:val="ListParagraph"/>
        <w:numPr>
          <w:ilvl w:val="0"/>
          <w:numId w:val="2"/>
        </w:numPr>
        <w:spacing w:after="80" w:line="340"/>
        <w:jc w:val="both"/>
      </w:pPr>
      <w:r>
        <w:t xml:space="preserve">多元调节体系加快构建。抽水蓄能达到1.6亿千瓦、新型储能3亿千瓦、虚拟电厂调节能力超5000万千瓦、全国需求侧削峰能力超1亿千瓦，系统调节能力由“电源侧为主”转向“源网荷储协同”。</w:t>
      </w:r>
    </w:p>
    <w:p>
      <w:pPr>
        <w:pStyle w:val="ListParagraph"/>
        <w:numPr>
          <w:ilvl w:val="0"/>
          <w:numId w:val="2"/>
        </w:numPr>
        <w:spacing w:after="80" w:line="340"/>
        <w:jc w:val="both"/>
      </w:pPr>
      <w:r>
        <w:t xml:space="preserve">大规模投资形成强拉动。国家电网宣布“十五五”计划投资4万亿元，南方电网2026年安排固定资产投资约1800亿元，中电联预计“十五五”全国电网固定资产投资达5万亿元以上。</w:t>
      </w:r>
    </w:p>
    <w:p>
      <w:pPr>
        <w:pStyle w:val="ListParagraph"/>
        <w:numPr>
          <w:ilvl w:val="0"/>
          <w:numId w:val="2"/>
        </w:numPr>
        <w:spacing w:after="80" w:line="340"/>
        <w:jc w:val="both"/>
      </w:pPr>
      <w:r>
        <w:t xml:space="preserve">新业态成为新增长极。车网互动、算电协同、绿电直连、虚拟电厂等新业态加快发展，2030年车网互动可调充电规模达5000万千瓦、算力用电量预计达8000亿千瓦时。</w:t>
      </w:r>
    </w:p>
    <w:p>
      <w:pPr>
        <w:pStyle w:val="Heading1"/>
      </w:pPr>
      <w:r>
        <w:t xml:space="preserve">二、政策脉络与顶层设计</w:t>
      </w:r>
    </w:p>
    <w:p>
      <w:pPr>
        <w:spacing w:after="120" w:line="360"/>
        <w:jc w:val="both"/>
      </w:pPr>
      <w:r>
        <w:rPr>
          <w:b w:val="false"/>
          <w:bCs w:val="false"/>
          <w:sz w:val="24"/>
          <w:szCs w:val="24"/>
        </w:rPr>
        <w:t xml:space="preserve">围绕“双碳”目标与能源安全，国家已形成“意见—行动方案—专项规划—指导意见”层层递进、交叉支撑的政策体系。2022年中央深改委部署后，2024年以来出台的四份核心文件构成了新型电力系统建设的顶层框架。</w:t>
      </w:r>
    </w:p>
    <w:p>
      <w:pPr>
        <w:pStyle w:val="Heading2"/>
      </w:pPr>
      <w:r>
        <w:t xml:space="preserve">2.1 核心政策文件</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900"/>
        <w:gridCol w:w="2026"/>
      </w:tblGrid>
      <w:tr>
        <w:trPr>
          <w:cantSplit/>
          <w:tblHeader/>
        </w:trPr>
        <w:tc>
          <w:tcPr>
            <w:tcW w:type="dxa" w:w="33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文件名称</w:t>
            </w:r>
          </w:p>
        </w:tc>
        <w:tc>
          <w:tcPr>
            <w:tcW w:type="dxa" w:w="18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文号</w:t>
            </w:r>
          </w:p>
        </w:tc>
        <w:tc>
          <w:tcPr>
            <w:tcW w:type="dxa" w:w="19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印发／公布</w:t>
            </w:r>
          </w:p>
        </w:tc>
        <w:tc>
          <w:tcPr>
            <w:tcW w:type="dxa" w:w="20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印发单位</w:t>
            </w:r>
          </w:p>
        </w:tc>
      </w:tr>
      <w:tr>
        <w:trPr>
          <w:cantSplit/>
        </w:trP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加快构建新型电力系统行动方案（2024—2027年）</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发改能源〔2024〕1128号</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2024-07-25</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发改委、能源局、数据局</w:t>
            </w:r>
          </w:p>
        </w:tc>
      </w:tr>
      <w:tr>
        <w:trPr>
          <w:cantSplit/>
        </w:trP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关于促进电网高质量发展的指导意见</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发改能源〔2025〕1710号</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2025-12-26</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发改委、能源局</w:t>
            </w:r>
          </w:p>
        </w:tc>
      </w:tr>
      <w:tr>
        <w:trPr>
          <w:cantSplit/>
        </w:trP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新型能源体系建设“十五五”规划</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发改能源〔2026〕884号</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2026-06-13印发／6-25公布</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发改委、能源局</w:t>
            </w:r>
          </w:p>
        </w:tc>
      </w:tr>
      <w:tr>
        <w:trPr>
          <w:cantSplit/>
        </w:trPr>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新型电力系统建设“十五五”规划</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发改能源〔2026〕942号</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2026-07-21印发／8-03公布</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发改委、能源局</w:t>
            </w:r>
          </w:p>
        </w:tc>
      </w:tr>
    </w:tbl>
    <w:p>
      <w:pPr>
        <w:spacing w:after="120" w:line="360"/>
        <w:jc w:val="both"/>
      </w:pPr>
      <w:r>
        <w:rPr>
          <w:b w:val="false"/>
          <w:bCs w:val="false"/>
          <w:sz w:val="24"/>
          <w:szCs w:val="24"/>
        </w:rPr>
        <w:t xml:space="preserve">其中，《行动方案》以“小切口”解决“大问题”，在2024—2027年重点开展9项专项行动；《新型电力系统建设“十五五”规划》是“十五五”时期新型电力系统的纲领性文件，设定了2030年前的建设目标、任务与指标；《新型能源体系建设“十五五”规划》从能源体系全局为新型电力系统提供遵循；《关于促进电网高质量发展的指导意见》聚焦电网这一核心枢纽环节，明确了主配微协同的新型电网平台的功能定位与发展路径。</w:t>
      </w:r>
    </w:p>
    <w:p>
      <w:pPr>
        <w:pStyle w:val="Heading2"/>
      </w:pPr>
      <w:r>
        <w:t xml:space="preserve">2.2 9项专项行动（2024—2027年）</w:t>
      </w:r>
    </w:p>
    <w:p>
      <w:pPr>
        <w:pStyle w:val="ListParagraph"/>
        <w:numPr>
          <w:ilvl w:val="0"/>
          <w:numId w:val="3"/>
        </w:numPr>
        <w:spacing w:after="80" w:line="340"/>
        <w:jc w:val="both"/>
      </w:pPr>
      <w:r>
        <w:t xml:space="preserve">1. 电力系统稳定保障行动</w:t>
      </w:r>
    </w:p>
    <w:p>
      <w:pPr>
        <w:pStyle w:val="ListParagraph"/>
        <w:numPr>
          <w:ilvl w:val="0"/>
          <w:numId w:val="3"/>
        </w:numPr>
        <w:spacing w:after="80" w:line="340"/>
        <w:jc w:val="both"/>
      </w:pPr>
      <w:r>
        <w:t xml:space="preserve">2. 大规模高比例新能源外送攻坚行动</w:t>
      </w:r>
    </w:p>
    <w:p>
      <w:pPr>
        <w:pStyle w:val="ListParagraph"/>
        <w:numPr>
          <w:ilvl w:val="0"/>
          <w:numId w:val="3"/>
        </w:numPr>
        <w:spacing w:after="80" w:line="340"/>
        <w:jc w:val="both"/>
      </w:pPr>
      <w:r>
        <w:t xml:space="preserve">3. 配电网高质量发展行动</w:t>
      </w:r>
    </w:p>
    <w:p>
      <w:pPr>
        <w:pStyle w:val="ListParagraph"/>
        <w:numPr>
          <w:ilvl w:val="0"/>
          <w:numId w:val="3"/>
        </w:numPr>
        <w:spacing w:after="80" w:line="340"/>
        <w:jc w:val="both"/>
      </w:pPr>
      <w:r>
        <w:t xml:space="preserve">4. 智慧化调度体系建设行动</w:t>
      </w:r>
    </w:p>
    <w:p>
      <w:pPr>
        <w:pStyle w:val="ListParagraph"/>
        <w:numPr>
          <w:ilvl w:val="0"/>
          <w:numId w:val="3"/>
        </w:numPr>
        <w:spacing w:after="80" w:line="340"/>
        <w:jc w:val="both"/>
      </w:pPr>
      <w:r>
        <w:t xml:space="preserve">5. 新能源系统友好性能提升行动</w:t>
      </w:r>
    </w:p>
    <w:p>
      <w:pPr>
        <w:pStyle w:val="ListParagraph"/>
        <w:numPr>
          <w:ilvl w:val="0"/>
          <w:numId w:val="3"/>
        </w:numPr>
        <w:spacing w:after="80" w:line="340"/>
        <w:jc w:val="both"/>
      </w:pPr>
      <w:r>
        <w:t xml:space="preserve">6. 新一代煤电升级行动</w:t>
      </w:r>
    </w:p>
    <w:p>
      <w:pPr>
        <w:pStyle w:val="ListParagraph"/>
        <w:numPr>
          <w:ilvl w:val="0"/>
          <w:numId w:val="3"/>
        </w:numPr>
        <w:spacing w:after="80" w:line="340"/>
        <w:jc w:val="both"/>
      </w:pPr>
      <w:r>
        <w:t xml:space="preserve">7. 电力系统调节能力优化行动</w:t>
      </w:r>
    </w:p>
    <w:p>
      <w:pPr>
        <w:pStyle w:val="ListParagraph"/>
        <w:numPr>
          <w:ilvl w:val="0"/>
          <w:numId w:val="3"/>
        </w:numPr>
        <w:spacing w:after="80" w:line="340"/>
        <w:jc w:val="both"/>
      </w:pPr>
      <w:r>
        <w:t xml:space="preserve">8. 电动汽车充电设施网络拓展行动</w:t>
      </w:r>
    </w:p>
    <w:p>
      <w:pPr>
        <w:pStyle w:val="ListParagraph"/>
        <w:numPr>
          <w:ilvl w:val="0"/>
          <w:numId w:val="3"/>
        </w:numPr>
        <w:spacing w:after="80" w:line="340"/>
        <w:jc w:val="both"/>
      </w:pPr>
      <w:r>
        <w:t xml:space="preserve">9. 需求侧协同能力提升行动</w:t>
      </w:r>
    </w:p>
    <w:p>
      <w:pPr>
        <w:pStyle w:val="Heading1"/>
      </w:pPr>
      <w:r>
        <w:t xml:space="preserve">三、“十五五”总体目标与核心指标</w:t>
      </w:r>
    </w:p>
    <w:p>
      <w:pPr>
        <w:spacing w:after="120" w:line="360"/>
        <w:jc w:val="both"/>
      </w:pPr>
      <w:r>
        <w:rPr>
          <w:b w:val="false"/>
          <w:bCs w:val="false"/>
          <w:sz w:val="24"/>
          <w:szCs w:val="24"/>
        </w:rPr>
        <w:t xml:space="preserve">到2030年，新型电力系统初步建成：绿色低碳的电力供给格局基本形成，电力供应能力持续增强，初步建成安全可靠、绿色低碳、坚强韧性、智能灵活的新型电网，实现28亿千瓦以上新能源高水平消纳，建成支持超过1.1亿辆电动汽车出行的充电基础设施网络，全国统一电力市场体系基本建成。《新型电力系统建设“十五五”规划》专栏设定的主要指标如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660"/>
        <w:gridCol w:w="1886"/>
      </w:tblGrid>
      <w:tr>
        <w:trPr>
          <w:cantSplit/>
          <w:tblHeader/>
        </w:trPr>
        <w:tc>
          <w:tcPr>
            <w:tcW w:type="dxa" w:w="13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类别</w:t>
            </w:r>
          </w:p>
        </w:tc>
        <w:tc>
          <w:tcPr>
            <w:tcW w:type="dxa" w:w="32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指标</w:t>
            </w:r>
          </w:p>
        </w:tc>
        <w:tc>
          <w:tcPr>
            <w:tcW w:type="dxa" w:w="166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2025年</w:t>
            </w:r>
          </w:p>
        </w:tc>
        <w:tc>
          <w:tcPr>
            <w:tcW w:type="dxa" w:w="188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vAlign w:val="center"/>
          </w:tcPr>
          <w:p>
            <w:pPr>
              <w:jc w:val="center"/>
            </w:pPr>
            <w:r>
              <w:rPr>
                <w:b/>
                <w:bCs/>
                <w:sz w:val="22"/>
                <w:szCs w:val="22"/>
              </w:rPr>
              <w:t xml:space="preserve">2030年</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综合</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电能占终端能源消费比重</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30%</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35%</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综合</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电力总装机（亿千瓦）</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38.9</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54</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绿色低碳</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非化石能源发电装机占比</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61.7%</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65%</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绿色低碳</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非化石能源发电量占比</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42.3%</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50%</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电力供应</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全国电力供应充裕度（约束性）</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&lt;1.1</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&gt;1.1</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电力供应</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省间电力互济能力（万千瓦）</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8000</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12000</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电网发展</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西电东送规模（亿千瓦）</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3.4</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&gt;4.2</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电网发展</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配电网承载分布式新能源（亿千瓦）</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5</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9</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用电协同</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需求侧削峰能力占最大负荷比重</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&gt;3%</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&gt;5%</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用电协同</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虚拟电厂最大调节能力（万千瓦）</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1685</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&gt;5000</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系统调节</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新型储能装机（亿千瓦）</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1.36</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3</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系统调节</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车网互动聚合可调充电规模（万千瓦）</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1000</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5000</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电力市场</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市场交易电量占比</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64%</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70%</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电力市场</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跨省跨区交易电量（万亿千瓦时）</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1.59</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2</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民生服务</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全国城市用户平均供电可靠率</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99.982%</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99.99%</w:t>
            </w:r>
          </w:p>
        </w:tc>
      </w:tr>
      <w:tr>
        <w:trPr>
          <w:cantSplit/>
        </w:trP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民生服务</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b w:val="false"/>
                <w:bCs w:val="false"/>
                <w:sz w:val="21"/>
                <w:szCs w:val="21"/>
              </w:rPr>
              <w:t xml:space="preserve">充电基础设施（万个）</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2009</w:t>
            </w:r>
          </w:p>
        </w:tc>
        <w:tc>
          <w:tcPr>
            <w:tcW w:type="dxa" w:w="188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b w:val="false"/>
                <w:bCs w:val="false"/>
                <w:sz w:val="21"/>
                <w:szCs w:val="21"/>
              </w:rPr>
              <w:t xml:space="preserve">&gt;4000</w:t>
            </w:r>
          </w:p>
        </w:tc>
      </w:tr>
    </w:tbl>
    <w:p>
      <w:pPr>
        <w:pStyle w:val="Heading1"/>
      </w:pPr>
      <w:r>
        <w:t xml:space="preserve">四、重点建设任务与实施路径</w:t>
      </w:r>
    </w:p>
    <w:p>
      <w:pPr>
        <w:pStyle w:val="Heading2"/>
      </w:pPr>
      <w:r>
        <w:t xml:space="preserve">4.1 加快形成绿色低碳的电力供给格局</w:t>
      </w:r>
    </w:p>
    <w:p>
      <w:pPr>
        <w:pStyle w:val="ListParagraph"/>
        <w:numPr>
          <w:ilvl w:val="0"/>
          <w:numId w:val="2"/>
        </w:numPr>
        <w:spacing w:after="80" w:line="340"/>
        <w:jc w:val="both"/>
      </w:pPr>
      <w:r>
        <w:t xml:space="preserve">统筹新能源开发与消纳。分地区分档确定新能源利用率指导目标（三档原则上分别不低于95%、90%、85%），全国新能源利用率保持在90%左右；持续推进以“沙戈荒”为重点的“三北”风电光伏基地、海上风电基地建设，大力推动绿电直连、智能微电网等就近消纳新业态。</w:t>
      </w:r>
    </w:p>
    <w:p>
      <w:pPr>
        <w:pStyle w:val="ListParagraph"/>
        <w:numPr>
          <w:ilvl w:val="0"/>
          <w:numId w:val="2"/>
        </w:numPr>
        <w:spacing w:after="80" w:line="340"/>
        <w:jc w:val="both"/>
      </w:pPr>
      <w:r>
        <w:t xml:space="preserve">科学推进常规水电。推动金沙江上游、澜沧江上游、雅砻江中游、大渡河等重点流域水电投产，安全有序推进雅鲁藏布江下游水电等重大工程，到2030年常规水电装机达4.1亿千瓦左右。</w:t>
      </w:r>
    </w:p>
    <w:p>
      <w:pPr>
        <w:pStyle w:val="ListParagraph"/>
        <w:numPr>
          <w:ilvl w:val="0"/>
          <w:numId w:val="2"/>
        </w:numPr>
        <w:spacing w:after="80" w:line="340"/>
        <w:jc w:val="both"/>
      </w:pPr>
      <w:r>
        <w:t xml:space="preserve">积极安全有序发展核电。以三代压水堆技术为主，科学确定沿海核电基地布局，多措并举降低小堆成本，到2030年核电装机约1.1亿千瓦。</w:t>
      </w:r>
    </w:p>
    <w:p>
      <w:pPr>
        <w:pStyle w:val="ListParagraph"/>
        <w:numPr>
          <w:ilvl w:val="0"/>
          <w:numId w:val="2"/>
        </w:numPr>
        <w:spacing w:after="80" w:line="340"/>
        <w:jc w:val="both"/>
      </w:pPr>
      <w:r>
        <w:t xml:space="preserve">鼓励非化石能源多元发展。推动光热（2030年力争达1500万千瓦）、生物质、地热能、海洋能等规模化发展，到2030年合计发电装机达6500万千瓦左右。</w:t>
      </w:r>
    </w:p>
    <w:p>
      <w:pPr>
        <w:pStyle w:val="ListParagraph"/>
        <w:numPr>
          <w:ilvl w:val="0"/>
          <w:numId w:val="2"/>
        </w:numPr>
        <w:spacing w:after="80" w:line="340"/>
        <w:jc w:val="both"/>
      </w:pPr>
      <w:r>
        <w:t xml:space="preserve">积极推动煤电节能降碳。实施宽负荷高效改造（低负荷煤耗增幅控制在25%以内）、60万千瓦等级跨代升级改造，推进零碳低碳燃料掺烧与碳捕集利用封存（CCUS）试点及煤电与新能源融合。</w:t>
      </w:r>
    </w:p>
    <w:p>
      <w:pPr>
        <w:pStyle w:val="Heading2"/>
      </w:pPr>
      <w:r>
        <w:t xml:space="preserve">4.2 着力构建主配微协同的新型电网</w:t>
      </w:r>
    </w:p>
    <w:p>
      <w:pPr>
        <w:pStyle w:val="ListParagraph"/>
        <w:numPr>
          <w:ilvl w:val="0"/>
          <w:numId w:val="2"/>
        </w:numPr>
        <w:spacing w:after="80" w:line="340"/>
        <w:jc w:val="both"/>
      </w:pPr>
      <w:r>
        <w:t xml:space="preserve">优化全国电力流向布局。形成东北、中北、西北“沙戈荒”基地群和西南水风光一体化基地群向东中部、川渝和南方负荷中心送电的总体格局，到2030年西电东送规模超4.2亿千瓦，开展“沙戈荒”100%新能源外送输电工程试点。</w:t>
      </w:r>
    </w:p>
    <w:p>
      <w:pPr>
        <w:pStyle w:val="ListParagraph"/>
        <w:numPr>
          <w:ilvl w:val="0"/>
          <w:numId w:val="2"/>
        </w:numPr>
        <w:spacing w:after="80" w:line="340"/>
        <w:jc w:val="both"/>
      </w:pPr>
      <w:r>
        <w:t xml:space="preserve">完善区域主网架、规划建设海上输电网络，巩固以区域同步电网为基础、区域间异步互联的全国电网格局。</w:t>
      </w:r>
    </w:p>
    <w:p>
      <w:pPr>
        <w:pStyle w:val="ListParagraph"/>
        <w:numPr>
          <w:ilvl w:val="0"/>
          <w:numId w:val="2"/>
        </w:numPr>
        <w:spacing w:after="80" w:line="340"/>
        <w:jc w:val="both"/>
      </w:pPr>
      <w:r>
        <w:t xml:space="preserve">打造坚强韧性配电系统。全面提升配电网综合承载能力，支撑9亿千瓦分布式新能源接入，力争实现单一通道县域全停风险清零，实施防灾抗灾能力提升工程。</w:t>
      </w:r>
    </w:p>
    <w:p>
      <w:pPr>
        <w:pStyle w:val="ListParagraph"/>
        <w:numPr>
          <w:ilvl w:val="0"/>
          <w:numId w:val="2"/>
        </w:numPr>
        <w:spacing w:after="80" w:line="340"/>
        <w:jc w:val="both"/>
      </w:pPr>
      <w:r>
        <w:t xml:space="preserve">多场景建设智能微电网。围绕末端保供、园区就近消纳、村镇自治、算电协同、绿电直连等场景布局源网荷储协同的智能微电网项目。</w:t>
      </w:r>
    </w:p>
    <w:p>
      <w:pPr>
        <w:pStyle w:val="ListParagraph"/>
        <w:numPr>
          <w:ilvl w:val="0"/>
          <w:numId w:val="2"/>
        </w:numPr>
        <w:spacing w:after="80" w:line="340"/>
        <w:jc w:val="both"/>
      </w:pPr>
      <w:r>
        <w:t xml:space="preserve">构建智慧电力调度体系。推动调度由以主干电网为主向主配微网协同转变，适时修订《电网调度管理条例》。</w:t>
      </w:r>
    </w:p>
    <w:p>
      <w:pPr>
        <w:pStyle w:val="ListParagraph"/>
        <w:numPr>
          <w:ilvl w:val="0"/>
          <w:numId w:val="2"/>
        </w:numPr>
        <w:spacing w:after="80" w:line="340"/>
        <w:jc w:val="both"/>
      </w:pPr>
      <w:r>
        <w:t xml:space="preserve">加强充电基础设施网络建设。构建城市面状、公路线状、乡村点状布局，到2030年充电基础设施总量超4000万个、大功率充电设施约30万个，形成支撑超1.1亿辆电动汽车的充电服务能力。</w:t>
      </w:r>
    </w:p>
    <w:p>
      <w:pPr>
        <w:pStyle w:val="Heading2"/>
      </w:pPr>
      <w:r>
        <w:t xml:space="preserve">4.3 促进用电侧协同发展</w:t>
      </w:r>
    </w:p>
    <w:p>
      <w:pPr>
        <w:pStyle w:val="ListParagraph"/>
        <w:numPr>
          <w:ilvl w:val="0"/>
          <w:numId w:val="2"/>
        </w:numPr>
        <w:spacing w:after="80" w:line="340"/>
        <w:jc w:val="both"/>
      </w:pPr>
      <w:r>
        <w:t xml:space="preserve">激发用电侧协同互动能力。引导分布式电源、可调节负荷、电动汽车充电设施等聚合参与削峰填谷，到2030年全国需求侧削峰能力超1亿千瓦。</w:t>
      </w:r>
    </w:p>
    <w:p>
      <w:pPr>
        <w:pStyle w:val="ListParagraph"/>
        <w:numPr>
          <w:ilvl w:val="0"/>
          <w:numId w:val="2"/>
        </w:numPr>
        <w:spacing w:after="80" w:line="340"/>
        <w:jc w:val="both"/>
      </w:pPr>
      <w:r>
        <w:t xml:space="preserve">大力促进虚拟电厂发展。完善交易规则与接入调用机制，推动常态化、规模化参与市场，到2030年虚拟电厂最大调节能力超5000万千瓦。</w:t>
      </w:r>
    </w:p>
    <w:p>
      <w:pPr>
        <w:pStyle w:val="ListParagraph"/>
        <w:numPr>
          <w:ilvl w:val="0"/>
          <w:numId w:val="2"/>
        </w:numPr>
        <w:spacing w:after="80" w:line="340"/>
        <w:jc w:val="both"/>
      </w:pPr>
      <w:r>
        <w:t xml:space="preserve">倡导全社会节约用电。强化高耗能行业碳排放约束，加快建筑节能改造，持续提升算力设施电能利用效率。</w:t>
      </w:r>
    </w:p>
    <w:p>
      <w:pPr>
        <w:pStyle w:val="ListParagraph"/>
        <w:numPr>
          <w:ilvl w:val="0"/>
          <w:numId w:val="2"/>
        </w:numPr>
        <w:spacing w:after="80" w:line="340"/>
        <w:jc w:val="both"/>
      </w:pPr>
      <w:r>
        <w:t xml:space="preserve">持续提升绿电应用和电气化水平。推进工业、交通、建筑、农业等领域电气化，到2030年电能占终端能源消费比重达35%。</w:t>
      </w:r>
    </w:p>
    <w:p>
      <w:pPr>
        <w:pStyle w:val="Heading2"/>
      </w:pPr>
      <w:r>
        <w:t xml:space="preserve">4.4 增强电力系统调节能力</w:t>
      </w:r>
    </w:p>
    <w:p>
      <w:pPr>
        <w:pStyle w:val="ListParagraph"/>
        <w:numPr>
          <w:ilvl w:val="0"/>
          <w:numId w:val="2"/>
        </w:numPr>
        <w:spacing w:after="80" w:line="340"/>
        <w:jc w:val="both"/>
      </w:pPr>
      <w:r>
        <w:t xml:space="preserve">强化抽水蓄能调节作用，到2030年全国抽水蓄能装机达1.6亿千瓦左右。</w:t>
      </w:r>
    </w:p>
    <w:p>
      <w:pPr>
        <w:pStyle w:val="ListParagraph"/>
        <w:numPr>
          <w:ilvl w:val="0"/>
          <w:numId w:val="2"/>
        </w:numPr>
        <w:spacing w:after="80" w:line="340"/>
        <w:jc w:val="both"/>
      </w:pPr>
      <w:r>
        <w:t xml:space="preserve">加快新型储能规模化建设，“十五五”新增新型储能约1.6亿千瓦，到2030年达3亿千瓦，加力发展长时储能。</w:t>
      </w:r>
    </w:p>
    <w:p>
      <w:pPr>
        <w:pStyle w:val="ListParagraph"/>
        <w:numPr>
          <w:ilvl w:val="0"/>
          <w:numId w:val="2"/>
        </w:numPr>
        <w:spacing w:after="80" w:line="340"/>
        <w:jc w:val="both"/>
      </w:pPr>
      <w:r>
        <w:t xml:space="preserve">推动煤电向支撑调节性电源转型，实施新一代煤电升级，热电联产机组最小发电出力达40%以下。</w:t>
      </w:r>
    </w:p>
    <w:p>
      <w:pPr>
        <w:pStyle w:val="ListParagraph"/>
        <w:numPr>
          <w:ilvl w:val="0"/>
          <w:numId w:val="2"/>
        </w:numPr>
        <w:spacing w:after="80" w:line="340"/>
        <w:jc w:val="both"/>
      </w:pPr>
      <w:r>
        <w:t xml:space="preserve">积极发展车网融合互动，推广智能有序充电与双向充放电，到2030年车网互动聚合可调充电规模力争达5000万千瓦。</w:t>
      </w:r>
    </w:p>
    <w:p>
      <w:pPr>
        <w:pStyle w:val="Heading2"/>
      </w:pPr>
      <w:r>
        <w:t xml:space="preserve">4.5 夯实电力供应保障能力</w:t>
      </w:r>
    </w:p>
    <w:p>
      <w:pPr>
        <w:pStyle w:val="ListParagraph"/>
        <w:numPr>
          <w:ilvl w:val="0"/>
          <w:numId w:val="2"/>
        </w:numPr>
        <w:spacing w:after="80" w:line="340"/>
        <w:jc w:val="both"/>
      </w:pPr>
      <w:r>
        <w:t xml:space="preserve">提升新能源电力支撑水平，到2030年全国非化石电源电力支撑水平达40%左右。</w:t>
      </w:r>
    </w:p>
    <w:p>
      <w:pPr>
        <w:pStyle w:val="ListParagraph"/>
        <w:numPr>
          <w:ilvl w:val="0"/>
          <w:numId w:val="2"/>
        </w:numPr>
        <w:spacing w:after="80" w:line="340"/>
        <w:jc w:val="both"/>
      </w:pPr>
      <w:r>
        <w:t xml:space="preserve">增强电力互补互济能力，“十五五”新增省间电力互济规模约4000万千瓦（总量1.2亿千瓦），规划一批区域间直流背靠背工程。</w:t>
      </w:r>
    </w:p>
    <w:p>
      <w:pPr>
        <w:pStyle w:val="ListParagraph"/>
        <w:numPr>
          <w:ilvl w:val="0"/>
          <w:numId w:val="2"/>
        </w:numPr>
        <w:spacing w:after="80" w:line="340"/>
        <w:jc w:val="both"/>
      </w:pPr>
      <w:r>
        <w:t xml:space="preserve">发挥新型储能顶峰作用，新增可承担顶峰保供的电网侧独立新型储能约8000万千瓦、等效顶峰时长力争4小时。</w:t>
      </w:r>
    </w:p>
    <w:p>
      <w:pPr>
        <w:pStyle w:val="ListParagraph"/>
        <w:numPr>
          <w:ilvl w:val="0"/>
          <w:numId w:val="2"/>
        </w:numPr>
        <w:spacing w:after="80" w:line="340"/>
        <w:jc w:val="both"/>
      </w:pPr>
      <w:r>
        <w:t xml:space="preserve">夯实煤电兜底保障作用，合理控制煤电规模，到2030年60万千瓦等级及以上清洁高效煤电机组占比提高10个百分点以上。</w:t>
      </w:r>
    </w:p>
    <w:p>
      <w:pPr>
        <w:pStyle w:val="ListParagraph"/>
        <w:numPr>
          <w:ilvl w:val="0"/>
          <w:numId w:val="2"/>
        </w:numPr>
        <w:spacing w:after="80" w:line="340"/>
        <w:jc w:val="both"/>
      </w:pPr>
      <w:r>
        <w:t xml:space="preserve">建立健全电力供应充裕度预警机制，组织编制迎峰度夏、度冬“一省一策”。</w:t>
      </w:r>
    </w:p>
    <w:p>
      <w:pPr>
        <w:pStyle w:val="Heading2"/>
      </w:pPr>
      <w:r>
        <w:t xml:space="preserve">4.6 深化电力市场化体制机制改革</w:t>
      </w:r>
    </w:p>
    <w:p>
      <w:pPr>
        <w:pStyle w:val="ListParagraph"/>
        <w:numPr>
          <w:ilvl w:val="0"/>
          <w:numId w:val="2"/>
        </w:numPr>
        <w:spacing w:after="80" w:line="340"/>
        <w:jc w:val="both"/>
      </w:pPr>
      <w:r>
        <w:t xml:space="preserve">持续完善全国统一电力市场机制，健全“1+N”规则体系，推进现货市场全面运行、中长期市场成熟运行、辅助服务市场优化、有序建立容量市场，到2030年市场交易电量占比达70%、跨省跨区交易电量达2万亿千瓦时。</w:t>
      </w:r>
    </w:p>
    <w:p>
      <w:pPr>
        <w:pStyle w:val="ListParagraph"/>
        <w:numPr>
          <w:ilvl w:val="0"/>
          <w:numId w:val="2"/>
        </w:numPr>
        <w:spacing w:after="80" w:line="340"/>
        <w:jc w:val="both"/>
      </w:pPr>
      <w:r>
        <w:t xml:space="preserve">深化电力价格机制改革，完善输配电价对电网投资的激励约束，研究海上风电送出工程价格机制，优化居民阶梯电价并推广居民分时电价。</w:t>
      </w:r>
    </w:p>
    <w:p>
      <w:pPr>
        <w:pStyle w:val="ListParagraph"/>
        <w:numPr>
          <w:ilvl w:val="0"/>
          <w:numId w:val="2"/>
        </w:numPr>
        <w:spacing w:after="80" w:line="340"/>
        <w:jc w:val="both"/>
      </w:pPr>
      <w:r>
        <w:t xml:space="preserve">完善监督管理机制，加快修订《中华人民共和国电力法》，支持包括民营企业在内的多元资本参与清洁能源基地和电力基础设施建设，加强对电网自然垄断业务的监管。</w:t>
      </w:r>
    </w:p>
    <w:p>
      <w:pPr>
        <w:pStyle w:val="Heading2"/>
      </w:pPr>
      <w:r>
        <w:t xml:space="preserve">4.7 加快电力领域新质生产力赋能</w:t>
      </w:r>
    </w:p>
    <w:p>
      <w:pPr>
        <w:pStyle w:val="ListParagraph"/>
        <w:numPr>
          <w:ilvl w:val="0"/>
          <w:numId w:val="2"/>
        </w:numPr>
        <w:spacing w:after="80" w:line="340"/>
        <w:jc w:val="both"/>
      </w:pPr>
      <w:r>
        <w:t xml:space="preserve">攻坚新型电力系统核心技术与装备，全面升级仿真技术，推动柔性直流、构网型技术、大容量断路器等装备规模化应用。</w:t>
      </w:r>
    </w:p>
    <w:p>
      <w:pPr>
        <w:pStyle w:val="ListParagraph"/>
        <w:numPr>
          <w:ilvl w:val="0"/>
          <w:numId w:val="2"/>
        </w:numPr>
        <w:spacing w:after="80" w:line="340"/>
        <w:jc w:val="both"/>
      </w:pPr>
      <w:r>
        <w:t xml:space="preserve">深化人工智能赋能，统筹推进人工智能赋能新型电力系统建设，开展“人工智能+”电力行业试点。</w:t>
      </w:r>
    </w:p>
    <w:p>
      <w:pPr>
        <w:pStyle w:val="ListParagraph"/>
        <w:numPr>
          <w:ilvl w:val="0"/>
          <w:numId w:val="2"/>
        </w:numPr>
        <w:spacing w:after="80" w:line="340"/>
        <w:jc w:val="both"/>
      </w:pPr>
      <w:r>
        <w:t xml:space="preserve">促进电力与算力协同发展，统筹算力设施与电力设施协同规划，到2030年全国算力用电量预计达8000亿千瓦时、占全社会用电量6%左右。</w:t>
      </w:r>
    </w:p>
    <w:p>
      <w:pPr>
        <w:pStyle w:val="ListParagraph"/>
        <w:numPr>
          <w:ilvl w:val="0"/>
          <w:numId w:val="2"/>
        </w:numPr>
        <w:spacing w:after="80" w:line="340"/>
        <w:jc w:val="both"/>
      </w:pPr>
      <w:r>
        <w:t xml:space="preserve">加快新型电力系统标准体系建设，积极参与国际标准制定。</w:t>
      </w:r>
    </w:p>
    <w:p>
      <w:pPr>
        <w:pStyle w:val="Heading1"/>
      </w:pPr>
      <w:r>
        <w:t xml:space="preserve">五、投资规模与市场主体行动</w:t>
      </w:r>
    </w:p>
    <w:p>
      <w:pPr>
        <w:spacing w:after="120" w:line="360"/>
        <w:jc w:val="both"/>
      </w:pPr>
      <w:r>
        <w:rPr>
          <w:b w:val="false"/>
          <w:bCs w:val="false"/>
          <w:sz w:val="24"/>
          <w:szCs w:val="24"/>
        </w:rPr>
        <w:t xml:space="preserve">新型电力系统建设进入大规模投资周期，两大电网企业相继公布大手笔投资计划，行业机构亦给出显著放量的预判。</w:t>
      </w:r>
    </w:p>
    <w:p>
      <w:pPr>
        <w:pStyle w:val="ListParagraph"/>
        <w:numPr>
          <w:ilvl w:val="0"/>
          <w:numId w:val="2"/>
        </w:numPr>
        <w:spacing w:after="80" w:line="340"/>
        <w:jc w:val="both"/>
      </w:pPr>
      <w:r>
        <w:t xml:space="preserve">国家电网：2026年1月15日宣布，“十五五”期间电网建设计划投资约4万亿元，聚焦特高压、配电网升级与数字化。</w:t>
      </w:r>
    </w:p>
    <w:p>
      <w:pPr>
        <w:pStyle w:val="ListParagraph"/>
        <w:numPr>
          <w:ilvl w:val="0"/>
          <w:numId w:val="2"/>
        </w:numPr>
        <w:spacing w:after="80" w:line="340"/>
        <w:jc w:val="both"/>
      </w:pPr>
      <w:r>
        <w:t xml:space="preserve">南方电网：2026年安排固定资产投资约1800亿元，连续5年创新高。</w:t>
      </w:r>
    </w:p>
    <w:p>
      <w:pPr>
        <w:pStyle w:val="ListParagraph"/>
        <w:numPr>
          <w:ilvl w:val="0"/>
          <w:numId w:val="2"/>
        </w:numPr>
        <w:spacing w:after="80" w:line="340"/>
        <w:jc w:val="both"/>
      </w:pPr>
      <w:r>
        <w:t xml:space="preserve">中电联：预计“十五五”期间全国电网固定资产投资达5万亿元以上，较“十四五”同期增长超80%；将新增投产15回左右特高压直流输电通道，建成6个以上区域电网互济工程。</w:t>
      </w:r>
    </w:p>
    <w:p>
      <w:pPr>
        <w:pStyle w:val="Heading1"/>
      </w:pPr>
      <w:r>
        <w:t xml:space="preserve">六、关键数据速览</w:t>
      </w:r>
    </w:p>
    <w:p>
      <w:pPr>
        <w:pStyle w:val="Heading2"/>
      </w:pPr>
      <w:r>
        <w:t xml:space="preserve">6.1 算力用电与新能源消纳</w:t>
      </w:r>
    </w:p>
    <w:p>
      <w:pPr>
        <w:pStyle w:val="ListParagraph"/>
        <w:numPr>
          <w:ilvl w:val="0"/>
          <w:numId w:val="2"/>
        </w:numPr>
        <w:spacing w:after="80" w:line="340"/>
        <w:jc w:val="both"/>
      </w:pPr>
      <w:r>
        <w:t xml:space="preserve">算力用电：2025年全国数据中心用电量约1700亿千瓦时、占全社会用电量约1.6%；8大算力枢纽节点算力用电近3年年均增速约39.5%。中电联预计“十五五”全国算力用电量年均新增1000亿千瓦时以上，2030年达8000亿千瓦时、占6%左右。</w:t>
      </w:r>
    </w:p>
    <w:p>
      <w:pPr>
        <w:pStyle w:val="ListParagraph"/>
        <w:numPr>
          <w:ilvl w:val="0"/>
          <w:numId w:val="2"/>
        </w:numPr>
        <w:spacing w:after="80" w:line="340"/>
        <w:jc w:val="both"/>
      </w:pPr>
      <w:r>
        <w:t xml:space="preserve">智能算力：截至2026年3月底，我国智能算力规模达188万PFLOPS（FP16），居全球第二。</w:t>
      </w:r>
    </w:p>
    <w:p>
      <w:pPr>
        <w:pStyle w:val="ListParagraph"/>
        <w:numPr>
          <w:ilvl w:val="0"/>
          <w:numId w:val="2"/>
        </w:numPr>
        <w:spacing w:after="80" w:line="340"/>
        <w:jc w:val="both"/>
      </w:pPr>
      <w:r>
        <w:t xml:space="preserve">新能源消纳：规划设定全国新能源利用率保持在90%左右（分地区三档95%/90%/85%），支撑2030年非化石能源发电量占比50%目标。</w:t>
      </w:r>
    </w:p>
    <w:p>
      <w:pPr>
        <w:pStyle w:val="Heading2"/>
      </w:pPr>
      <w:r>
        <w:t xml:space="preserve">6.2 新能源汽车与充电基础设施</w:t>
      </w:r>
    </w:p>
    <w:p>
      <w:pPr>
        <w:pStyle w:val="ListParagraph"/>
        <w:numPr>
          <w:ilvl w:val="0"/>
          <w:numId w:val="2"/>
        </w:numPr>
        <w:spacing w:after="80" w:line="340"/>
        <w:jc w:val="both"/>
      </w:pPr>
      <w:r>
        <w:t xml:space="preserve">新能源汽车：截至2025年底全国保有量达4397万辆、占汽车总量12.01%，其中纯电动3022万辆；2025年新注册登记1293万辆、占新注册汽车数量的49.38%。</w:t>
      </w:r>
    </w:p>
    <w:p>
      <w:pPr>
        <w:pStyle w:val="ListParagraph"/>
        <w:numPr>
          <w:ilvl w:val="0"/>
          <w:numId w:val="2"/>
        </w:numPr>
        <w:spacing w:after="80" w:line="340"/>
        <w:jc w:val="both"/>
      </w:pPr>
      <w:r>
        <w:t xml:space="preserve">机动车：截至2025年底全国机动车达4.69亿辆（汽车3.66亿辆）。</w:t>
      </w:r>
    </w:p>
    <w:p>
      <w:pPr>
        <w:pStyle w:val="ListParagraph"/>
        <w:numPr>
          <w:ilvl w:val="0"/>
          <w:numId w:val="2"/>
        </w:numPr>
        <w:spacing w:after="80" w:line="340"/>
        <w:jc w:val="both"/>
      </w:pPr>
      <w:r>
        <w:t xml:space="preserve">充电设施：截至2026年1月底全国电动汽车充电基础设施（枪）总数2069.8万个、同比增长49.6%，其中公共480.1万个、私人1589.7万个；规划2027年建成2800万个、2030年超4000万个。</w:t>
      </w:r>
    </w:p>
    <w:p>
      <w:pPr>
        <w:pStyle w:val="Heading1"/>
      </w:pPr>
      <w:r>
        <w:t xml:space="preserve">七、趋势研判与展望</w:t>
      </w:r>
    </w:p>
    <w:p>
      <w:pPr>
        <w:pStyle w:val="ListParagraph"/>
        <w:numPr>
          <w:ilvl w:val="0"/>
          <w:numId w:val="3"/>
        </w:numPr>
        <w:spacing w:after="80" w:line="340"/>
        <w:jc w:val="both"/>
      </w:pPr>
      <w:r>
        <w:t xml:space="preserve">【判断】政策由“作战图”转向“施工图”。四份核心文件层层递进，新型电力系统从顶层设计加速转入分地区、分领域落地实施阶段，2030年初步建成的目标时间表已然清晰。</w:t>
      </w:r>
    </w:p>
    <w:p>
      <w:pPr>
        <w:pStyle w:val="ListParagraph"/>
        <w:numPr>
          <w:ilvl w:val="0"/>
          <w:numId w:val="3"/>
        </w:numPr>
        <w:spacing w:after="80" w:line="340"/>
        <w:jc w:val="both"/>
      </w:pPr>
      <w:r>
        <w:t xml:space="preserve">【判断】电网投资重心向配电网与智能化下移。相较于传统以主网为主的投资结构，“十五五”配电网数智化升级、智能微电网、车网互动网络等成为新增量，5万亿元量级的投资将对稳增长形成强拉动。</w:t>
      </w:r>
    </w:p>
    <w:p>
      <w:pPr>
        <w:pStyle w:val="ListParagraph"/>
        <w:numPr>
          <w:ilvl w:val="0"/>
          <w:numId w:val="3"/>
        </w:numPr>
        <w:spacing w:after="80" w:line="340"/>
        <w:jc w:val="both"/>
      </w:pPr>
      <w:r>
        <w:t xml:space="preserve">【判断】调节能力体系化、多元化。抽蓄、新型储能、煤电灵活性、虚拟电厂、需求侧响应、车网互动多元并举，系统思维取代单一电源调节，是应对高比例新能源的核心抓手。</w:t>
      </w:r>
    </w:p>
    <w:p>
      <w:pPr>
        <w:pStyle w:val="ListParagraph"/>
        <w:numPr>
          <w:ilvl w:val="0"/>
          <w:numId w:val="3"/>
        </w:numPr>
        <w:spacing w:after="80" w:line="340"/>
        <w:jc w:val="both"/>
      </w:pPr>
      <w:r>
        <w:t xml:space="preserve">【判断】电力市场与价格机制改革提速。全国统一电力市场、容量市场、输配电价与居民分时电价等改革深化，将进一步释放新型主体与新业态活力。</w:t>
      </w:r>
    </w:p>
    <w:p>
      <w:pPr>
        <w:pStyle w:val="ListParagraph"/>
        <w:numPr>
          <w:ilvl w:val="0"/>
          <w:numId w:val="3"/>
        </w:numPr>
        <w:spacing w:after="80" w:line="340"/>
        <w:jc w:val="both"/>
      </w:pPr>
      <w:r>
        <w:t xml:space="preserve">【判断】算电协同、绿电直连等新业态成为新增长极。算力用电高速增长推动“以电强算、以算促电”的耦合发展模式，绿电直连、源网荷储一体化等加速落地。</w:t>
      </w:r>
    </w:p>
    <w:p>
      <w:pPr>
        <w:pStyle w:val="Heading1"/>
      </w:pPr>
      <w:r>
        <w:t xml:space="preserve">结语</w:t>
      </w:r>
    </w:p>
    <w:p>
      <w:pPr>
        <w:spacing w:after="120" w:line="360"/>
        <w:jc w:val="both"/>
      </w:pPr>
      <w:r>
        <w:rPr>
          <w:b w:val="false"/>
          <w:bCs w:val="false"/>
          <w:sz w:val="24"/>
          <w:szCs w:val="24"/>
        </w:rPr>
        <w:t xml:space="preserve">综合来看，新型电力系统建设已由顶层设计、试点探索，全面进入系统集成与规模化推进的新阶段。以《新型电力系统建设“十五五”规划》为纲领，以主配微协同的新型电网为主轴，以多元调节能力建设为核心支撑，以电力市场化改革和科技创新为双轮驱动，我国正朝着2030年“绿色低碳、安全充裕、经济高效、供需协同、灵活智能”的新型电力系统初步建成目标加速迈进。</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第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r>
      <w:rPr>
        <w:color w:val="7F7F7F"/>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60"/>
      </w:pPr>
    </w:lvl>
  </w:abstractNum>
  <w:abstractNum w:abstractNumId="3" w15:restartNumberingAfterBreak="0">
    <w:multiLevelType w:val="hybridMultilevel"/>
    <w:lvl w:ilvl="0" w: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val="false"/>
      <w:keepLines w:val="false"/>
      <w:spacing w:after="160" w:before="320"/>
      <w:outlineLvl w:val="0"/>
    </w:pPr>
    <w:rPr>
      <w:rFonts w:ascii="Arial" w:eastAsia="Microsoft YaHei" w:hAnsi="Arial"/>
      <w:b/>
      <w:bCs/>
      <w:color w:val="1F3864"/>
      <w:sz w:val="32"/>
      <w:szCs w:val="32"/>
    </w:rPr>
  </w:style>
  <w:style w:type="paragraph" w:styleId="Heading2">
    <w:name w:val="Heading 2"/>
    <w:basedOn w:val="Normal"/>
    <w:next w:val="Normal"/>
    <w:qFormat/>
    <w:pPr>
      <w:keepNext w:val="false"/>
      <w:keepLines w:val="false"/>
      <w:spacing w:after="120" w:before="220"/>
      <w:outlineLvl w:val="1"/>
    </w:pPr>
    <w:rPr>
      <w:rFonts w:ascii="Arial" w:eastAsia="Microsoft YaHei" w:hAnsi="Arial"/>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2026-10-29T16:41:49.754Z</dcterms:created>
  <dcterms:modified xsi:type="dcterms:W3CDTF">2026-10-29T16:41:49.756Z</dcterms:modified>
</cp:coreProperties>
</file>

<file path=docProps/custom.xml><?xml version="1.0" encoding="utf-8"?>
<Properties xmlns="http://schemas.openxmlformats.org/officeDocument/2006/custom-properties" xmlns:vt="http://schemas.openxmlformats.org/officeDocument/2006/docPropsVTypes"/>
</file>