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sz w:val="22"/>
        </w:rPr>
        <w:t>NarraCare: A Conversational Rehabilitation Recommender with a Narrative Companion</w:t>
      </w:r>
    </w:p>
    <w:p>
      <w:pPr>
        <w:pStyle w:val="Subtitle"/>
      </w:pPr>
      <w:r>
        <w:rPr>
          <w:rFonts w:ascii="Arial" w:hAnsi="Arial"/>
          <w:sz w:val="22"/>
        </w:rPr>
        <w:t>CA6124 Group Project · Final technical report</w:t>
      </w:r>
    </w:p>
    <w:p>
      <w:pPr>
        <w:pStyle w:val="Heading1"/>
      </w:pPr>
      <w:r>
        <w:rPr>
          <w:rFonts w:ascii="Arial" w:hAnsi="Arial"/>
          <w:sz w:val="22"/>
        </w:rPr>
        <w:t>1. Introduction</w:t>
      </w:r>
    </w:p>
    <w:p>
      <w:pPr>
        <w:pStyle w:val="Heading2"/>
      </w:pPr>
      <w:r>
        <w:rPr>
          <w:rFonts w:ascii="Arial" w:hAnsi="Arial"/>
          <w:sz w:val="22"/>
        </w:rPr>
        <w:t>1.1 The problem we chose</w:t>
      </w:r>
    </w:p>
    <w:p>
      <w:r>
        <w:rPr>
          <w:rFonts w:ascii="Arial" w:hAnsi="Arial"/>
          <w:sz w:val="22"/>
        </w:rPr>
        <w:t>Home rehabilitation involves a small but repeated decision: what is a manageable exercise for me today? Pain, fatigue and confidence can change from day to day, while limited support can make a programme difficult to sustain [1,2]. We chose this setting because it brings together personalization, sequential feedback and constraints that a general item-ranking system would not normally address.</w:t>
      </w:r>
    </w:p>
    <w:p>
      <w:r>
        <w:rPr>
          <w:rFonts w:ascii="Arial" w:hAnsi="Arial"/>
          <w:sz w:val="22"/>
        </w:rPr>
        <w:t>We built NarraCare for simulated users recovering from ACL or rotator-cuff surgery and users with chronic lower-back pain. Given a profile, current symptoms and preferences, it recommends one catalogue task with its name, category, difficulty and a short explanation. The user can revise the request, attempt the task or decline it. Reported outcomes then inform later recommendations.</w:t>
      </w:r>
    </w:p>
    <w:p>
      <w:r>
        <w:rPr>
          <w:rFonts w:ascii="Arial" w:hAnsi="Arial"/>
          <w:sz w:val="22"/>
        </w:rPr>
        <w:t>Our aim was to combine useful task selection with a less impersonal interaction. We wanted progress to feel like taking a manageable step with a companion, rather than receiving another demanding exercise instruction. A future clinician-reviewed version could support daily choices within an approved rehabilitation programme. Our implementation explores that idea with synthetic data; it is not a clinical treatment service.</w:t>
      </w:r>
    </w:p>
    <w:p>
      <w:pPr>
        <w:pStyle w:val="Heading2"/>
      </w:pPr>
      <w:r>
        <w:rPr>
          <w:rFonts w:ascii="Arial" w:hAnsi="Arial"/>
          <w:sz w:val="22"/>
        </w:rPr>
        <w:t>1.2 What we designed and implemented</w:t>
      </w:r>
    </w:p>
    <w:p>
      <w:r>
        <w:rPr>
          <w:rFonts w:ascii="Arial" w:hAnsi="Arial"/>
          <w:sz w:val="22"/>
        </w:rPr>
        <w:t>We developed a 60-day recommendation pipeline with five components: User Simulator, Recommender, Safety Agent, Narrator and Reward Composer. We then extended it with a conversational agent so that a person could provide a check-in, express preferences and report feedback instead of only watching a simulated trajectory.</w:t>
      </w:r>
    </w:p>
    <w:p>
      <w:r>
        <w:rPr>
          <w:rFonts w:ascii="Arial" w:hAnsi="Arial"/>
          <w:sz w:val="22"/>
        </w:rPr>
        <w:t>Our technical adaptation, SAPS, adds a sampled safety-outcome term to a LinUCB reward backbone. We keep that ranking decision separate from hard feasibility checks, and evaluate both delivered tasks and proposals that the checks would reject. This separation lets us investigate whether a better-looking safety metric comes from the learner or from the filter.</w:t>
      </w:r>
    </w:p>
    <w:p>
      <w:r>
        <w:rPr>
          <w:rFonts w:ascii="Arial" w:hAnsi="Arial"/>
          <w:sz w:val="22"/>
        </w:rPr>
        <w:t>Our application design turns the programme into a three-act mountain trail. The companion first scouts ahead, then walks beside the user and eventually steps back as the story moves toward autonomy. Completed tasks create small achievements; skips create camp. This gives the recommendation a setting and a sense of company without making every interaction a performance challenge. Whether that experience improves adherence requires a user study.</w:t>
      </w:r>
    </w:p>
    <w:p>
      <w:pPr>
        <w:pStyle w:val="Heading2"/>
      </w:pPr>
      <w:r>
        <w:rPr>
          <w:rFonts w:ascii="Arial" w:hAnsi="Arial"/>
          <w:sz w:val="22"/>
        </w:rPr>
        <w:t>1.3 Evaluation overview</w:t>
      </w:r>
    </w:p>
    <w:p>
      <w:r>
        <w:rPr>
          <w:rFonts w:ascii="Arial" w:hAnsi="Arial"/>
          <w:sz w:val="22"/>
        </w:rPr>
        <w:t>We compare seven policies on 20 synthetic personas over 60 days and ten final seed runs. We also investigate shortlist size, task coverage, the sampled bonus and runtime filtering. The results support the value of separating these mechanisms, but do not show SAPS outperforming LinUCB or filtered Random on simulated reward. We use these findings to explain the design choices and remaining weaknesses of the system.</w:t>
      </w:r>
    </w:p>
    <w:p>
      <w:r>
        <w:rPr>
          <w:rFonts w:ascii="Arial" w:hAnsi="Arial"/>
          <w:sz w:val="22"/>
        </w:rPr>
        <w:t>Project repository: https://github.com/ZHIQIAN-fine/NarraCare</w:t>
      </w:r>
    </w:p>
    <w:p>
      <w:r>
        <w:rPr>
          <w:rFonts w:ascii="Arial" w:hAnsi="Arial"/>
          <w:sz w:val="22"/>
        </w:rPr>
        <w:br w:type="page"/>
      </w:r>
    </w:p>
    <w:p>
      <w:pPr>
        <w:pStyle w:val="Heading1"/>
      </w:pPr>
      <w:r>
        <w:rPr>
          <w:rFonts w:ascii="Arial" w:hAnsi="Arial"/>
          <w:sz w:val="22"/>
        </w:rPr>
        <w:t>2. Related work, data and formulation</w:t>
      </w:r>
    </w:p>
    <w:p>
      <w:pPr>
        <w:pStyle w:val="Heading2"/>
      </w:pPr>
      <w:r>
        <w:rPr>
          <w:rFonts w:ascii="Arial" w:hAnsi="Arial"/>
          <w:sz w:val="22"/>
        </w:rPr>
        <w:t>2.1 How related work informed our design</w:t>
      </w:r>
    </w:p>
    <w:p>
      <w:r>
        <w:rPr>
          <w:rFonts w:ascii="Arial" w:hAnsi="Arial"/>
          <w:sz w:val="22"/>
        </w:rPr>
        <w:t>We used LinUCB [3] as the starting point because it learns from sequential feedback and gives an explicit exploration term. Thompson sampling [4] suggested a way to represent uncertainty in an additional outcome signal. We combined these ideas in SAPS: reward remains UCB-based, while the auxiliary Beta term is sampled. Work on constrained bandits [5,6] also motivated keeping restrictions separate from utility, although our implementation does not provide those methods’ formal guarantees.</w:t>
      </w:r>
    </w:p>
    <w:p>
      <w:r>
        <w:rPr>
          <w:rFonts w:ascii="Arial" w:hAnsi="Arial"/>
          <w:sz w:val="22"/>
        </w:rPr>
        <w:t>The interface draws on interactive narrative [8] and the emphasis on autonomy in self-determination theory [9]. We used these ideas to design changing tones and small achievements, rather than assuming that more encouragement is always better. Neural contextual bandits [7] provide a recommendation reference. Clinical exercise literature [10,11] provides background for the scenario, but was not used as a validated, per-task source for our catalogue.</w:t>
      </w:r>
    </w:p>
    <w:p>
      <w:pPr>
        <w:pStyle w:val="Heading2"/>
      </w:pPr>
      <w:r>
        <w:rPr>
          <w:rFonts w:ascii="Arial" w:hAnsi="Arial"/>
          <w:sz w:val="22"/>
        </w:rPr>
        <w:t>2.2 Why we used synthetic data</w:t>
      </w:r>
    </w:p>
    <w:p>
      <w:r>
        <w:rPr>
          <w:rFonts w:ascii="Arial" w:hAnsi="Arial"/>
          <w:sz w:val="22"/>
        </w:rPr>
        <w:t>We used project-authored synthetic JSON to develop and compare the complete interaction loop without collecting identifiable patient information. It lets us vary symptoms, task difficulty and behavioral assumptions in a controlled setting. It also makes the resulting conclusions conditional on those assumptions. The inputs are not a public patient dataset, and the repository does not contain complete per-record authorship records or clinician validation.</w:t>
      </w:r>
    </w:p>
    <w:tbl>
      <w:tblPr>
        <w:tblStyle w:val="LightShading-Accent1"/>
        <w:tblW w:type="auto" w:w="0"/>
        <w:tblLook w:firstColumn="1" w:firstRow="1" w:lastColumn="0" w:lastRow="0" w:noHBand="0" w:noVBand="1" w:val="04A0"/>
      </w:tblPr>
      <w:tblGrid>
        <w:gridCol w:w="4873"/>
        <w:gridCol w:w="4873"/>
      </w:tblGrid>
      <w:tr>
        <w:trPr>
          <w:cantSplit/>
        </w:trPr>
        <w:tc>
          <w:tcPr>
            <w:tcW w:type="dxa" w:w="4873"/>
          </w:tcPr>
          <w:p>
            <w:pPr>
              <w:spacing w:after="60" w:before="0" w:line="240" w:lineRule="auto"/>
            </w:pPr>
            <w:r>
              <w:rPr>
                <w:rFonts w:ascii="Arial" w:hAnsi="Arial"/>
                <w:sz w:val="22"/>
              </w:rPr>
              <w:t>Input</w:t>
            </w:r>
          </w:p>
        </w:tc>
        <w:tc>
          <w:tcPr>
            <w:tcW w:type="dxa" w:w="4873"/>
          </w:tcPr>
          <w:p>
            <w:pPr>
              <w:spacing w:after="60" w:before="0" w:line="240" w:lineRule="auto"/>
            </w:pPr>
            <w:r>
              <w:rPr>
                <w:rFonts w:ascii="Arial" w:hAnsi="Arial"/>
                <w:sz w:val="22"/>
              </w:rPr>
              <w:t>Contents / statistics</w:t>
            </w:r>
          </w:p>
        </w:tc>
      </w:tr>
      <w:tr>
        <w:trPr>
          <w:cantSplit/>
        </w:trPr>
        <w:tc>
          <w:tcPr>
            <w:tcW w:type="dxa" w:w="4873"/>
          </w:tcPr>
          <w:p>
            <w:pPr>
              <w:spacing w:after="60" w:before="0" w:line="240" w:lineRule="auto"/>
            </w:pPr>
            <w:r>
              <w:rPr>
                <w:rFonts w:ascii="Arial" w:hAnsi="Arial"/>
                <w:sz w:val="22"/>
              </w:rPr>
              <w:t>Personas</w:t>
            </w:r>
          </w:p>
        </w:tc>
        <w:tc>
          <w:tcPr>
            <w:tcW w:type="dxa" w:w="4873"/>
          </w:tcPr>
          <w:p>
            <w:pPr>
              <w:spacing w:after="60" w:before="0" w:line="240" w:lineRule="auto"/>
            </w:pPr>
            <w:r>
              <w:rPr>
                <w:rFonts w:ascii="Arial" w:hAnsi="Arial"/>
                <w:sz w:val="22"/>
              </w:rPr>
              <w:t>20: ACL 10, rotator cuff 5, chronic back pain 5; motivated 7, inconsistent 6, cautious 7</w:t>
            </w:r>
          </w:p>
        </w:tc>
      </w:tr>
      <w:tr>
        <w:trPr>
          <w:cantSplit/>
        </w:trPr>
        <w:tc>
          <w:tcPr>
            <w:tcW w:type="dxa" w:w="4873"/>
          </w:tcPr>
          <w:p>
            <w:pPr>
              <w:spacing w:after="60" w:before="0" w:line="240" w:lineRule="auto"/>
            </w:pPr>
            <w:r>
              <w:rPr>
                <w:rFonts w:ascii="Arial" w:hAnsi="Arial"/>
                <w:sz w:val="22"/>
              </w:rPr>
              <w:t>Tasks</w:t>
            </w:r>
          </w:p>
        </w:tc>
        <w:tc>
          <w:tcPr>
            <w:tcW w:type="dxa" w:w="4873"/>
          </w:tcPr>
          <w:p>
            <w:pPr>
              <w:spacing w:after="60" w:before="0" w:line="240" w:lineRule="auto"/>
            </w:pPr>
            <w:r>
              <w:rPr>
                <w:rFonts w:ascii="Arial" w:hAnsi="Arial"/>
                <w:sz w:val="22"/>
              </w:rPr>
              <w:t>100: strength 41, flexibility 29, balance 12, cardio 10, rest 8; difficulty 1–5</w:t>
            </w:r>
          </w:p>
        </w:tc>
      </w:tr>
      <w:tr>
        <w:trPr>
          <w:cantSplit/>
        </w:trPr>
        <w:tc>
          <w:tcPr>
            <w:tcW w:type="dxa" w:w="4873"/>
          </w:tcPr>
          <w:p>
            <w:pPr>
              <w:spacing w:after="60" w:before="0" w:line="240" w:lineRule="auto"/>
            </w:pPr>
            <w:r>
              <w:rPr>
                <w:rFonts w:ascii="Arial" w:hAnsi="Arial"/>
                <w:sz w:val="22"/>
              </w:rPr>
              <w:t>Design rules</w:t>
            </w:r>
          </w:p>
        </w:tc>
        <w:tc>
          <w:tcPr>
            <w:tcW w:type="dxa" w:w="4873"/>
          </w:tcPr>
          <w:p>
            <w:pPr>
              <w:spacing w:after="60" w:before="0" w:line="240" w:lineRule="auto"/>
            </w:pPr>
            <w:r>
              <w:rPr>
                <w:rFonts w:ascii="Arial" w:hAnsi="Arial"/>
                <w:sz w:val="22"/>
              </w:rPr>
              <w:t>51 definitions: contraindication 16, dosage 9, fatigue 6, crisis 10, progression 10</w:t>
            </w:r>
          </w:p>
        </w:tc>
      </w:tr>
      <w:tr>
        <w:trPr>
          <w:cantSplit/>
        </w:trPr>
        <w:tc>
          <w:tcPr>
            <w:tcW w:type="dxa" w:w="4873"/>
          </w:tcPr>
          <w:p>
            <w:pPr>
              <w:spacing w:after="60" w:before="0" w:line="240" w:lineRule="auto"/>
            </w:pPr>
            <w:r>
              <w:rPr>
                <w:rFonts w:ascii="Arial" w:hAnsi="Arial"/>
                <w:sz w:val="22"/>
              </w:rPr>
              <w:t>Narrative data</w:t>
            </w:r>
          </w:p>
        </w:tc>
        <w:tc>
          <w:tcPr>
            <w:tcW w:type="dxa" w:w="4873"/>
          </w:tcPr>
          <w:p>
            <w:pPr>
              <w:spacing w:after="60" w:before="0" w:line="240" w:lineRule="auto"/>
            </w:pPr>
            <w:r>
              <w:rPr>
                <w:rFonts w:ascii="Arial" w:hAnsi="Arial"/>
                <w:sz w:val="22"/>
              </w:rPr>
              <w:t>3 condition maps × 3 acts; doctor/coach/companion templates and closing variants</w:t>
            </w:r>
          </w:p>
        </w:tc>
      </w:tr>
    </w:tbl>
    <w:p>
      <w:r>
        <w:rPr>
          <w:rFonts w:ascii="Arial" w:hAnsi="Arial"/>
          <w:sz w:val="22"/>
        </w:rPr>
        <w:t>We load profiles and tasks into dictionaries, retain catalogue IDs across the pipeline and normalize condition names for narrative lookup. The 51 design-rule definitions describe the intended domain; five pre-filter predicates are implemented at runtime. We therefore evaluate those five predicates explicitly instead of treating all design definitions as enforced rules. Data fields and provenance are documented in data/README.md.</w:t>
      </w:r>
    </w:p>
    <w:p>
      <w:pPr>
        <w:pStyle w:val="Heading2"/>
      </w:pPr>
      <w:r>
        <w:rPr>
          <w:rFonts w:ascii="Arial" w:hAnsi="Arial"/>
          <w:sz w:val="22"/>
        </w:rPr>
        <w:t>2.3 Formal task and assumptions</w:t>
      </w:r>
    </w:p>
    <w:p>
      <w:r>
        <w:rPr>
          <w:rFonts w:ascii="Arial" w:hAnsi="Arial"/>
          <w:sz w:val="22"/>
        </w:rPr>
        <w:t>At day t, the input is a profile and context x_t containing current symptoms and interaction history. The system constructs a feasible set F_t, ranks it and offers one task. In the benchmark, a simulated user chooses whether to attempt it and generates an outcome; in the live agent, the user supplies that information. We seek useful repeated recommendations under the implemented constraints, using cumulative simulated utility as the experimental objective.</w:t>
      </w:r>
    </w:p>
    <w:p>
      <w:r>
        <w:rPr>
          <w:rFonts w:ascii="Arial" w:hAnsi="Arial"/>
          <w:sz w:val="22"/>
        </w:rPr>
        <w:t>We keep clinical stage fixed in each profile. Story progression is a separate presentation choice: reaching a later act does not mean a patient has medically recovered. This distinction allowed us to build a complete 60-day narrative without pretending to infer clinical milestones from the passage of time alone.</w:t>
      </w:r>
    </w:p>
    <w:p>
      <w:r>
        <w:rPr>
          <w:rFonts w:ascii="Arial" w:hAnsi="Arial"/>
          <w:sz w:val="22"/>
        </w:rPr>
        <w:br w:type="page"/>
      </w:r>
    </w:p>
    <w:p>
      <w:pPr>
        <w:pStyle w:val="Heading1"/>
      </w:pPr>
      <w:r>
        <w:rPr>
          <w:rFonts w:ascii="Arial" w:hAnsi="Arial"/>
          <w:sz w:val="22"/>
        </w:rPr>
        <w:t>3. System design: from pipeline to conversational agent</w:t>
      </w:r>
    </w:p>
    <w:p>
      <w:pPr>
        <w:pStyle w:val="Heading2"/>
      </w:pPr>
      <w:r>
        <w:rPr>
          <w:rFonts w:ascii="Arial" w:hAnsi="Arial"/>
          <w:sz w:val="22"/>
        </w:rPr>
        <w:t>3.1 Separating the responsibilities</w:t>
      </w:r>
    </w:p>
    <w:p>
      <w:r>
        <w:rPr>
          <w:rFonts w:ascii="Arial" w:hAnsi="Arial"/>
          <w:sz w:val="22"/>
        </w:rPr>
        <w:t>We first implemented the benchmark loop so that ranking, filtering, feedback and narration could run together. Its daily sequence is User Simulator state → Safety pre-filter and emotional cap → Recommender → Safety post-check → Narrator → simulated choice/outcome → Reward Composer and model updates → daily closing. Keeping these responsibilities separate made it possible to change the interaction layer without rebuilding the recommender.</w:t>
      </w:r>
    </w:p>
    <w:p>
      <w:r>
        <w:rPr>
          <w:rFonts w:ascii="Arial" w:hAnsi="Arial"/>
          <w:sz w:val="22"/>
        </w:rPr>
        <w:t>The simulation could show a trajectory, but could not let someone ask for a different exercise or explain how they felt today. We therefore added an LLM-controlled tool layer. The model, default gpt-4o-mini, interprets English and chooses tools for check-in, preferences, retrieval, ranking, explanation and feedback. Those tools call the existing components. The live path uses actual reports and reuses only the Simulator’s reward function, not its generated patient behavior.</w:t>
      </w:r>
    </w:p>
    <w:p>
      <w:r>
        <w:rPr>
          <w:rFonts w:ascii="Arial" w:hAnsi="Arial"/>
          <w:sz w:val="22"/>
        </w:rPr>
        <w:t>We let the LLM decide the next conversational action while keeping catalogue selection and state changes in Python tools. A tool result becomes input to the next decision, with a maximum of ten decisions per user turn. This gives the agent flexibility to clarify or revise a request while retaining explicit checks on what it can recommend or record.</w:t>
      </w:r>
    </w:p>
    <w:p>
      <w:pPr>
        <w:pStyle w:val="Heading2"/>
      </w:pPr>
      <w:r>
        <w:rPr>
          <w:rFonts w:ascii="Arial" w:hAnsi="Arial"/>
          <w:sz w:val="22"/>
        </w:rPr>
        <w:t>3.2 Making user input affect the recommendation</w:t>
      </w:r>
    </w:p>
    <w:tbl>
      <w:tblPr>
        <w:tblStyle w:val="LightShading-Accent1"/>
        <w:tblW w:type="auto" w:w="0"/>
        <w:tblLook w:firstColumn="1" w:firstRow="1" w:lastColumn="0" w:lastRow="0" w:noHBand="0" w:noVBand="1" w:val="04A0"/>
      </w:tblPr>
      <w:tblGrid>
        <w:gridCol w:w="4873"/>
        <w:gridCol w:w="4873"/>
      </w:tblGrid>
      <w:tr>
        <w:trPr>
          <w:cantSplit/>
        </w:trPr>
        <w:tc>
          <w:tcPr>
            <w:tcW w:type="dxa" w:w="4873"/>
          </w:tcPr>
          <w:p>
            <w:pPr>
              <w:spacing w:after="60" w:before="0" w:line="240" w:lineRule="auto"/>
            </w:pPr>
            <w:r>
              <w:rPr>
                <w:rFonts w:ascii="Arial" w:hAnsi="Arial"/>
                <w:sz w:val="22"/>
              </w:rPr>
              <w:t>Stage</w:t>
            </w:r>
          </w:p>
        </w:tc>
        <w:tc>
          <w:tcPr>
            <w:tcW w:type="dxa" w:w="4873"/>
          </w:tcPr>
          <w:p>
            <w:pPr>
              <w:spacing w:after="60" w:before="0" w:line="240" w:lineRule="auto"/>
            </w:pPr>
            <w:r>
              <w:rPr>
                <w:rFonts w:ascii="Arial" w:hAnsi="Arial"/>
                <w:sz w:val="22"/>
              </w:rPr>
              <w:t>Implemented behavior</w:t>
            </w:r>
          </w:p>
        </w:tc>
      </w:tr>
      <w:tr>
        <w:trPr>
          <w:cantSplit/>
        </w:trPr>
        <w:tc>
          <w:tcPr>
            <w:tcW w:type="dxa" w:w="4873"/>
          </w:tcPr>
          <w:p>
            <w:pPr>
              <w:spacing w:after="60" w:before="0" w:line="240" w:lineRule="auto"/>
            </w:pPr>
            <w:r>
              <w:rPr>
                <w:rFonts w:ascii="Arial" w:hAnsi="Arial"/>
                <w:sz w:val="22"/>
              </w:rPr>
              <w:t>Check-in / clarification</w:t>
            </w:r>
          </w:p>
        </w:tc>
        <w:tc>
          <w:tcPr>
            <w:tcW w:type="dxa" w:w="4873"/>
          </w:tcPr>
          <w:p>
            <w:pPr>
              <w:spacing w:after="60" w:before="0" w:line="240" w:lineRule="auto"/>
            </w:pPr>
            <w:r>
              <w:rPr>
                <w:rFonts w:ascii="Arial" w:hAnsi="Arial"/>
                <w:sz w:val="22"/>
              </w:rPr>
              <w:t>Explicit pain, fatigue, mood 0–10; measured ROM 0–180 or explicit unknown; missing information is requested</w:t>
            </w:r>
          </w:p>
        </w:tc>
      </w:tr>
      <w:tr>
        <w:trPr>
          <w:cantSplit/>
        </w:trPr>
        <w:tc>
          <w:tcPr>
            <w:tcW w:type="dxa" w:w="4873"/>
          </w:tcPr>
          <w:p>
            <w:pPr>
              <w:spacing w:after="60" w:before="0" w:line="240" w:lineRule="auto"/>
            </w:pPr>
            <w:r>
              <w:rPr>
                <w:rFonts w:ascii="Arial" w:hAnsi="Arial"/>
                <w:sz w:val="22"/>
              </w:rPr>
              <w:t>Preference memory</w:t>
            </w:r>
          </w:p>
        </w:tc>
        <w:tc>
          <w:tcPr>
            <w:tcW w:type="dxa" w:w="4873"/>
          </w:tcPr>
          <w:p>
            <w:pPr>
              <w:spacing w:after="60" w:before="0" w:line="240" w:lineRule="auto"/>
            </w:pPr>
            <w:r>
              <w:rPr>
                <w:rFonts w:ascii="Arial" w:hAnsi="Arial"/>
                <w:sz w:val="22"/>
              </w:rPr>
              <w:t>Preferred/avoided categories persist within a session; a revision invalidates stale retrieval/ranking</w:t>
            </w:r>
          </w:p>
        </w:tc>
      </w:tr>
      <w:tr>
        <w:trPr>
          <w:cantSplit/>
        </w:trPr>
        <w:tc>
          <w:tcPr>
            <w:tcW w:type="dxa" w:w="4873"/>
          </w:tcPr>
          <w:p>
            <w:pPr>
              <w:spacing w:after="60" w:before="0" w:line="240" w:lineRule="auto"/>
            </w:pPr>
            <w:r>
              <w:rPr>
                <w:rFonts w:ascii="Arial" w:hAnsi="Arial"/>
                <w:sz w:val="22"/>
              </w:rPr>
              <w:t>Retrieval / ranking</w:t>
            </w:r>
          </w:p>
        </w:tc>
        <w:tc>
          <w:tcPr>
            <w:tcW w:type="dxa" w:w="4873"/>
          </w:tcPr>
          <w:p>
            <w:pPr>
              <w:spacing w:after="60" w:before="0" w:line="240" w:lineRule="auto"/>
            </w:pPr>
            <w:r>
              <w:rPr>
                <w:rFonts w:ascii="Arial" w:hAnsi="Arial"/>
                <w:sz w:val="22"/>
              </w:rPr>
              <w:t>Hard pre-filter, condition/body-part relevance and avoidances; soft preferred categories when available; existing SAPS and final checks</w:t>
            </w:r>
          </w:p>
        </w:tc>
      </w:tr>
      <w:tr>
        <w:trPr>
          <w:cantSplit/>
        </w:trPr>
        <w:tc>
          <w:tcPr>
            <w:tcW w:type="dxa" w:w="4873"/>
          </w:tcPr>
          <w:p>
            <w:pPr>
              <w:spacing w:after="60" w:before="0" w:line="240" w:lineRule="auto"/>
            </w:pPr>
            <w:r>
              <w:rPr>
                <w:rFonts w:ascii="Arial" w:hAnsi="Arial"/>
                <w:sz w:val="22"/>
              </w:rPr>
              <w:t>Presentation / explanation</w:t>
            </w:r>
          </w:p>
        </w:tc>
        <w:tc>
          <w:tcPr>
            <w:tcW w:type="dxa" w:w="4873"/>
          </w:tcPr>
          <w:p>
            <w:pPr>
              <w:spacing w:after="60" w:before="0" w:line="240" w:lineRule="auto"/>
            </w:pPr>
            <w:r>
              <w:rPr>
                <w:rFonts w:ascii="Arial" w:hAnsi="Arial"/>
                <w:sz w:val="22"/>
              </w:rPr>
              <w:t>Canonical task fields, real counts, composite S and template text; selection-path explanation, not causal score attribution</w:t>
            </w:r>
          </w:p>
        </w:tc>
      </w:tr>
      <w:tr>
        <w:trPr>
          <w:cantSplit/>
        </w:trPr>
        <w:tc>
          <w:tcPr>
            <w:tcW w:type="dxa" w:w="4873"/>
          </w:tcPr>
          <w:p>
            <w:pPr>
              <w:spacing w:after="60" w:before="0" w:line="240" w:lineRule="auto"/>
            </w:pPr>
            <w:r>
              <w:rPr>
                <w:rFonts w:ascii="Arial" w:hAnsi="Arial"/>
                <w:sz w:val="22"/>
              </w:rPr>
              <w:t>Feedback / learning</w:t>
            </w:r>
          </w:p>
        </w:tc>
        <w:tc>
          <w:tcPr>
            <w:tcW w:type="dxa" w:w="4873"/>
          </w:tcPr>
          <w:p>
            <w:pPr>
              <w:spacing w:after="60" w:before="0" w:line="240" w:lineRule="auto"/>
            </w:pPr>
            <w:r>
              <w:rPr>
                <w:rFonts w:ascii="Arial" w:hAnsi="Arial"/>
                <w:sz w:val="22"/>
              </w:rPr>
              <w:t>Explicit completed/partial + after-pain/fatigue + satisfaction; reward/model/Beta/memory update once; no update for intention or skip</w:t>
            </w:r>
          </w:p>
        </w:tc>
      </w:tr>
    </w:tbl>
    <w:p>
      <w:r>
        <w:rPr>
          <w:rFonts w:ascii="Arial" w:hAnsi="Arial"/>
          <w:sz w:val="22"/>
        </w:rPr>
        <w:t>We also added guided forms because entering every symptom as a precise English sentence is an awkward starting point for a demo. A form prepares an editable check-in, then Send invokes the same LLM. Unknown ROM stays unknown in the record; existing filtering uses a disclosed conservative zero-degree proxy. Preferences change retrieval directly, so a request such as avoiding flexibility can change the actual candidate set rather than only the wording of the response.</w:t>
      </w:r>
    </w:p>
    <w:p>
      <w:pPr>
        <w:pStyle w:val="Heading2"/>
      </w:pPr>
      <w:r>
        <w:rPr>
          <w:rFonts w:ascii="Arial" w:hAnsi="Arial"/>
          <w:sz w:val="22"/>
        </w:rPr>
        <w:t>3.3 Decisions about control and feedback</w:t>
      </w:r>
    </w:p>
    <w:p>
      <w:r>
        <w:rPr>
          <w:rFonts w:ascii="Arial" w:hAnsi="Arial"/>
          <w:sz w:val="22"/>
        </w:rPr>
        <w:t>We distinguish having a task from being required to complete it. On an ordinary day the system aims to offer a suitable task, including recovery activity; a user may decline it. An explicit report that pain prevents every task allows an unperformed pause. A limited red-flag keyword screen places the session on hold before the LLM is called. Neither case is converted into a successful exercise outcome.</w:t>
      </w:r>
    </w:p>
    <w:p>
      <w:r>
        <w:rPr>
          <w:rFonts w:ascii="Arial" w:hAnsi="Arial"/>
          <w:sz w:val="22"/>
        </w:rPr>
        <w:t>Each session has its own learner and memory. The LLM cannot rewrite clinical stage or contraindications, invent a catalogue item or treat an intention as completion. A preference revision invalidates the old ranking, and a new day requires a fresh check-in. These rules were important when turning the benchmark into a conversation: a fluent response alone does not tell us whether the underlying recommendation or update is valid. Tool contracts are detailed in docs/conversational_agent.md.</w:t>
      </w:r>
    </w:p>
    <w:p>
      <w:r>
        <w:rPr>
          <w:rFonts w:ascii="Arial" w:hAnsi="Arial"/>
          <w:sz w:val="22"/>
        </w:rPr>
        <w:br w:type="page"/>
      </w:r>
    </w:p>
    <w:p>
      <w:pPr>
        <w:pStyle w:val="Heading1"/>
      </w:pPr>
      <w:r>
        <w:rPr>
          <w:rFonts w:ascii="Arial" w:hAnsi="Arial"/>
          <w:sz w:val="22"/>
        </w:rPr>
        <w:t>4. Recommendation method and learning signals</w:t>
      </w:r>
    </w:p>
    <w:p>
      <w:pPr>
        <w:pStyle w:val="Heading2"/>
      </w:pPr>
      <w:r>
        <w:rPr>
          <w:rFonts w:ascii="Arial" w:hAnsi="Arial"/>
          <w:sz w:val="22"/>
        </w:rPr>
        <w:t>4.1 SAPS: task-specific adaptation of LinUCB</w:t>
      </w:r>
    </w:p>
    <w:p>
      <w:r>
        <w:rPr>
          <w:rFonts w:ascii="Arial" w:hAnsi="Arial"/>
          <w:sz w:val="22"/>
        </w:rPr>
        <w:t>We represent the user with 15 context features covering symptoms, ROM, mood, profile information and recent interaction history. We chose a disjoint LinUCB backbone to learn a separate reward estimate for each task while conditioning on the current user state. Explicit category preferences are handled by live retrieval, rather than added as a new bandit feature.</w:t>
      </w:r>
    </w:p>
    <w:p>
      <w:r>
        <w:rPr>
          <w:rFonts w:ascii="Arial" w:hAnsi="Arial"/>
          <w:sz w:val="22"/>
        </w:rPr>
        <w:t>For task a and context x, we initialize A_a = I and b_a = 0. With θ_a = A_a⁻¹b_a, the reward score is r_ucb(a) = θ_aᵀx + α√(xᵀA_a⁻¹x). SAPS adds S(a) = r_ucb(a) + τ_safe s_a, where s_a ~ Beta(α_a, β_a). We use α = 1, τ_safe = 2 and Beta(1,1) priors. The UCB term balances estimated reward and exploration; the sampled term favors tasks associated with acceptable symptom changes.</w:t>
      </w:r>
    </w:p>
    <w:p>
      <w:r>
        <w:rPr>
          <w:rFonts w:ascii="Arial" w:hAnsi="Arial"/>
          <w:sz w:val="22"/>
        </w:rPr>
        <w:t>After an attempted task, we update A_a ← A_a + xxᵀ and b_a ← b_a + rx. We increment the Beta positive count when pain_change &lt;= 1.0 and its negative count otherwise. This is a simple authored outcome proxy. The Beta state is indexed by task, shared across users and has no decay, whereas the reward estimate depends on user context. This makes SAPS a task-specific adaptation, not a new clinically calibrated risk model.</w:t>
      </w:r>
    </w:p>
    <w:p>
      <w:r>
        <w:rPr>
          <w:rFonts w:ascii="Arial" w:hAnsi="Arial"/>
          <w:sz w:val="22"/>
        </w:rPr>
        <w:t>We designed the bonus to influence what the learner proposes, but did not rely on it to enforce restrictions. A task with a high estimated reward or a favorable Beta sample still has to pass the hard checks. This led to two separate experimental questions: whether the sampled bonus helps ranking, and whether runtime filtering prevents delivery of rule-infeasible tasks.</w:t>
      </w:r>
    </w:p>
    <w:p>
      <w:pPr>
        <w:pStyle w:val="Heading2"/>
      </w:pPr>
      <w:r>
        <w:rPr>
          <w:rFonts w:ascii="Arial" w:hAnsi="Arial"/>
          <w:sz w:val="22"/>
        </w:rPr>
        <w:t>4.2 Why we kept a hard safety layer</w:t>
      </w:r>
    </w:p>
    <w:p>
      <w:r>
        <w:rPr>
          <w:rFonts w:ascii="Arial" w:hAnsi="Arial"/>
          <w:sz w:val="22"/>
        </w:rPr>
        <w:t>The pre-filter applies five checks: contraindication overlap; stage mismatch; pain ≥7 with difficulty ≥4; fatigue ≥8 with a category other than rest/flexibility; and ROM &lt;60 with difficulty ≥3 or cardio. Emotional caps and post-checks add restrictions, including consecutive high-intensity limits. We recheck a recovery fallback as well as the first recommendation, so that fallback logic cannot undo an earlier restriction.</w:t>
      </w:r>
    </w:p>
    <w:p>
      <w:r>
        <w:rPr>
          <w:rFonts w:ascii="Arial" w:hAnsi="Arial"/>
          <w:sz w:val="22"/>
        </w:rPr>
        <w:t>This design answers a practical concern about adaptive scores: changing the learned bonus does not change the hard predicates. However, their usefulness still depends on whether the predicates describe the domain correctly. We evaluate rule compliance in the simulator and reserve clinical safety claims for future validation of the tasks and constraints.</w:t>
      </w:r>
    </w:p>
    <w:p>
      <w:pPr>
        <w:pStyle w:val="Heading2"/>
      </w:pPr>
      <w:r>
        <w:rPr>
          <w:rFonts w:ascii="Arial" w:hAnsi="Arial"/>
          <w:sz w:val="22"/>
        </w:rPr>
        <w:t>4.3 Designing and correcting the feedback signal</w:t>
      </w:r>
    </w:p>
    <w:p>
      <w:r>
        <w:rPr>
          <w:rFonts w:ascii="Arial" w:hAnsi="Arial"/>
          <w:sz w:val="22"/>
        </w:rPr>
        <w:t>Our reward combines completion, symptom response and task fit: r = 0.35 c + 0.25 s + 0.20 d + 0.10 p + 0.05 q + 0.05 g, clipped to [0,1]. The terms are completion, pain-change safety, difficulty match, pain penalty, non-skip and category appropriateness. Difficulty match uses a Gaussian around a stress-dependent ideal difficulty, with width 1.5. Completion receives the largest weight because delivering a task that is never completed is not enough. These weights are design choices, not tuned clinical utilities; satisfaction is stored but does not enter reward.</w:t>
      </w:r>
    </w:p>
    <w:p>
      <w:r>
        <w:rPr>
          <w:rFonts w:ascii="Arial" w:hAnsi="Arial"/>
          <w:sz w:val="22"/>
        </w:rPr>
        <w:t>Reviewing the feedback path exposed an important mismatch: a skipped task could still produce simulated physical feedback. We corrected it so a skip produces no pain/fatigue/ROM/satisfaction outcome, chosen-arm reward update or Beta observation. Its zero in reward totals is bookkeeping only; completion counters increase only for completed tasks. Known infeasible-arm penalties remain separate constraint updates. We reran the experiments after these corrections rather than comparing incompatible reward totals.</w:t>
      </w:r>
    </w:p>
    <w:p>
      <w:r>
        <w:rPr>
          <w:rFonts w:ascii="Arial" w:hAnsi="Arial"/>
          <w:sz w:val="22"/>
        </w:rPr>
        <w:br w:type="page"/>
      </w:r>
    </w:p>
    <w:p>
      <w:pPr>
        <w:pStyle w:val="Heading1"/>
      </w:pPr>
      <w:r>
        <w:rPr>
          <w:rFonts w:ascii="Arial" w:hAnsi="Arial"/>
          <w:sz w:val="22"/>
        </w:rPr>
        <w:t>5. Experimental design</w:t>
      </w:r>
    </w:p>
    <w:p>
      <w:pPr>
        <w:pStyle w:val="Heading2"/>
      </w:pPr>
      <w:r>
        <w:rPr>
          <w:rFonts w:ascii="Arial" w:hAnsi="Arial"/>
          <w:sz w:val="22"/>
        </w:rPr>
        <w:t>5.1 Questions and online protocol</w:t>
      </w:r>
    </w:p>
    <w:p>
      <w:r>
        <w:rPr>
          <w:rFonts w:ascii="Arial" w:hAnsi="Arial"/>
          <w:sz w:val="22"/>
        </w:rPr>
        <w:t>We organized evaluation around three questions: how the policies compare on useful daily recommendations; what the bonus and hard filter each contribute; and how the displayed shortlist affects the simulator’s choices. Each primary run uses 20 personas for 60 days with one shared learner, one task per user-day and prediction before feedback. Learning takes place online, so there is no conventional offline train/validation/test split.</w:t>
      </w:r>
    </w:p>
    <w:p>
      <w:r>
        <w:rPr>
          <w:rFonts w:ascii="Arial" w:hAnsi="Arial"/>
          <w:sz w:val="22"/>
        </w:rPr>
        <w:t>The initial benchmark offered three tasks, whereas the live agent presents one. We chose Top-1 as the final common setting to match that interaction, and used seeds 42–51 to diagnose Top-1 versus Top-3. Final comparisons use previously uninspected seeds 52–61 with the same personas. This gives repeated stochastic runs, not held-out patient validation. We kept tau fixed instead of searching for a setting that would make the final comparison favorable.</w:t>
      </w:r>
    </w:p>
    <w:tbl>
      <w:tblPr>
        <w:tblStyle w:val="LightShading-Accent1"/>
        <w:tblW w:type="auto" w:w="0"/>
        <w:tblLook w:firstColumn="1" w:firstRow="1" w:lastColumn="0" w:lastRow="0" w:noHBand="0" w:noVBand="1" w:val="04A0"/>
      </w:tblPr>
      <w:tblGrid>
        <w:gridCol w:w="4873"/>
        <w:gridCol w:w="4873"/>
      </w:tblGrid>
      <w:tr>
        <w:trPr>
          <w:cantSplit/>
        </w:trPr>
        <w:tc>
          <w:tcPr>
            <w:tcW w:type="dxa" w:w="4873"/>
          </w:tcPr>
          <w:p>
            <w:pPr>
              <w:spacing w:after="60" w:before="0" w:line="240" w:lineRule="auto"/>
            </w:pPr>
            <w:r>
              <w:rPr>
                <w:rFonts w:ascii="Arial" w:hAnsi="Arial"/>
                <w:sz w:val="22"/>
              </w:rPr>
              <w:t>Configuration</w:t>
            </w:r>
          </w:p>
        </w:tc>
        <w:tc>
          <w:tcPr>
            <w:tcW w:type="dxa" w:w="4873"/>
          </w:tcPr>
          <w:p>
            <w:pPr>
              <w:spacing w:after="60" w:before="0" w:line="240" w:lineRule="auto"/>
            </w:pPr>
            <w:r>
              <w:rPr>
                <w:rFonts w:ascii="Arial" w:hAnsi="Arial"/>
                <w:sz w:val="22"/>
              </w:rPr>
              <w:t>Value</w:t>
            </w:r>
          </w:p>
        </w:tc>
      </w:tr>
      <w:tr>
        <w:trPr>
          <w:cantSplit/>
        </w:trPr>
        <w:tc>
          <w:tcPr>
            <w:tcW w:type="dxa" w:w="4873"/>
          </w:tcPr>
          <w:p>
            <w:pPr>
              <w:spacing w:after="60" w:before="0" w:line="240" w:lineRule="auto"/>
            </w:pPr>
            <w:r>
              <w:rPr>
                <w:rFonts w:ascii="Arial" w:hAnsi="Arial"/>
                <w:sz w:val="22"/>
              </w:rPr>
              <w:t>Primary / diagnostic / IER list sizes</w:t>
            </w:r>
          </w:p>
        </w:tc>
        <w:tc>
          <w:tcPr>
            <w:tcW w:type="dxa" w:w="4873"/>
          </w:tcPr>
          <w:p>
            <w:pPr>
              <w:spacing w:after="60" w:before="0" w:line="240" w:lineRule="auto"/>
            </w:pPr>
            <w:r>
              <w:rPr>
                <w:rFonts w:ascii="Arial" w:hAnsi="Arial"/>
                <w:sz w:val="22"/>
              </w:rPr>
              <w:t>1 / {1,3} / 5</w:t>
            </w:r>
          </w:p>
        </w:tc>
      </w:tr>
      <w:tr>
        <w:trPr>
          <w:cantSplit/>
        </w:trPr>
        <w:tc>
          <w:tcPr>
            <w:tcW w:type="dxa" w:w="4873"/>
          </w:tcPr>
          <w:p>
            <w:pPr>
              <w:spacing w:after="60" w:before="0" w:line="240" w:lineRule="auto"/>
            </w:pPr>
            <w:r>
              <w:rPr>
                <w:rFonts w:ascii="Arial" w:hAnsi="Arial"/>
                <w:sz w:val="22"/>
              </w:rPr>
              <w:t>SAPS; LinUCB</w:t>
            </w:r>
          </w:p>
        </w:tc>
        <w:tc>
          <w:tcPr>
            <w:tcW w:type="dxa" w:w="4873"/>
          </w:tcPr>
          <w:p>
            <w:pPr>
              <w:spacing w:after="60" w:before="0" w:line="240" w:lineRule="auto"/>
            </w:pPr>
            <w:r>
              <w:rPr>
                <w:rFonts w:ascii="Arial" w:hAnsi="Arial"/>
                <w:sz w:val="22"/>
              </w:rPr>
              <w:t>α_ucb 1, τ_safe 2, Beta(1,1); α 1</w:t>
            </w:r>
          </w:p>
        </w:tc>
      </w:tr>
      <w:tr>
        <w:trPr>
          <w:cantSplit/>
        </w:trPr>
        <w:tc>
          <w:tcPr>
            <w:tcW w:type="dxa" w:w="4873"/>
          </w:tcPr>
          <w:p>
            <w:pPr>
              <w:spacing w:after="60" w:before="0" w:line="240" w:lineRule="auto"/>
            </w:pPr>
            <w:r>
              <w:rPr>
                <w:rFonts w:ascii="Arial" w:hAnsi="Arial"/>
                <w:sz w:val="22"/>
              </w:rPr>
              <w:t>Modified NeuralUCB</w:t>
            </w:r>
          </w:p>
        </w:tc>
        <w:tc>
          <w:tcPr>
            <w:tcW w:type="dxa" w:w="4873"/>
          </w:tcPr>
          <w:p>
            <w:pPr>
              <w:spacing w:after="60" w:before="0" w:line="240" w:lineRule="auto"/>
            </w:pPr>
            <w:r>
              <w:rPr>
                <w:rFonts w:ascii="Arial" w:hAnsi="Arial"/>
                <w:sz w:val="22"/>
              </w:rPr>
              <w:t>Hidden width 32, 5 epochs, α 0.01, safety_lambda 3</w:t>
            </w:r>
          </w:p>
        </w:tc>
      </w:tr>
      <w:tr>
        <w:trPr>
          <w:cantSplit/>
        </w:trPr>
        <w:tc>
          <w:tcPr>
            <w:tcW w:type="dxa" w:w="4873"/>
          </w:tcPr>
          <w:p>
            <w:pPr>
              <w:spacing w:after="60" w:before="0" w:line="240" w:lineRule="auto"/>
            </w:pPr>
            <w:r>
              <w:rPr>
                <w:rFonts w:ascii="Arial" w:hAnsi="Arial"/>
                <w:sz w:val="22"/>
              </w:rPr>
              <w:t>Other policies</w:t>
            </w:r>
          </w:p>
        </w:tc>
        <w:tc>
          <w:tcPr>
            <w:tcW w:type="dxa" w:w="4873"/>
          </w:tcPr>
          <w:p>
            <w:pPr>
              <w:spacing w:after="60" w:before="0" w:line="240" w:lineRule="auto"/>
            </w:pPr>
            <w:r>
              <w:rPr>
                <w:rFonts w:ascii="Arial" w:hAnsi="Arial"/>
                <w:sz w:val="22"/>
              </w:rPr>
              <w:t>Base safety_lambda 1; epsilon-greedy ε 0.1</w:t>
            </w:r>
          </w:p>
        </w:tc>
      </w:tr>
      <w:tr>
        <w:trPr>
          <w:cantSplit/>
        </w:trPr>
        <w:tc>
          <w:tcPr>
            <w:tcW w:type="dxa" w:w="4873"/>
          </w:tcPr>
          <w:p>
            <w:pPr>
              <w:spacing w:after="60" w:before="0" w:line="240" w:lineRule="auto"/>
            </w:pPr>
            <w:r>
              <w:rPr>
                <w:rFonts w:ascii="Arial" w:hAnsi="Arial"/>
                <w:sz w:val="22"/>
              </w:rPr>
              <w:t>Randomness / inference</w:t>
            </w:r>
          </w:p>
        </w:tc>
        <w:tc>
          <w:tcPr>
            <w:tcW w:type="dxa" w:w="4873"/>
          </w:tcPr>
          <w:p>
            <w:pPr>
              <w:spacing w:after="60" w:before="0" w:line="240" w:lineRule="auto"/>
            </w:pPr>
            <w:r>
              <w:rPr>
                <w:rFonts w:ascii="Arial" w:hAnsi="Arial"/>
                <w:sz w:val="22"/>
              </w:rPr>
              <w:t>Seeded model/simulator RNGs; 10 final seed means as repetition units</w:t>
            </w:r>
          </w:p>
        </w:tc>
      </w:tr>
    </w:tbl>
    <w:p>
      <w:pPr>
        <w:pStyle w:val="Heading2"/>
      </w:pPr>
      <w:r>
        <w:rPr>
          <w:rFonts w:ascii="Arial" w:hAnsi="Arial"/>
          <w:sz w:val="22"/>
        </w:rPr>
        <w:t>5.2 Why these baselines</w:t>
      </w:r>
    </w:p>
    <w:p>
      <w:r>
        <w:rPr>
          <w:rFonts w:ascii="Arial" w:hAnsi="Arial"/>
          <w:sz w:val="22"/>
        </w:rPr>
        <w:t>LinUCB isolates the reward backbone; Random tests whether learning improves on feasible random selection. Popularity and epsilon-greedy provide simpler reward-history references. We also report the implemented RuleBased and modified NeuralUCB variants, with limitations: RuleBased ties all candidates, while the neural variant’s shared context term cancels in ranking and it uses a stronger infeasible-arm penalty. It is not the original gradient-UCB method [7]. LinUCB and Random are therefore the most informative comparisons for our main question.</w:t>
      </w:r>
    </w:p>
    <w:p>
      <w:pPr>
        <w:pStyle w:val="Heading2"/>
      </w:pPr>
      <w:r>
        <w:rPr>
          <w:rFonts w:ascii="Arial" w:hAnsi="Arial"/>
          <w:sz w:val="22"/>
        </w:rPr>
        <w:t>5.3 Choosing metrics for this task</w:t>
      </w:r>
    </w:p>
    <w:p>
      <w:r>
        <w:rPr>
          <w:rFonts w:ascii="Arial" w:hAnsi="Arial"/>
          <w:sz w:val="22"/>
        </w:rPr>
        <w:t>We use mean per-user cumulative reward to summarize the 60-day interaction, and acceptance and completion to show whether offered tasks are attempted and finished. Both rates divide by scheduled user-days. We also count distinct selected tasks per user, including declined tasks, to examine breadth. These measures match our sequential task more closely than treating a simulator-chosen item as independent relevance ground truth for Recall or NDCG.</w:t>
      </w:r>
    </w:p>
    <w:p>
      <w:r>
        <w:rPr>
          <w:rFonts w:ascii="Arial" w:hAnsi="Arial"/>
          <w:sz w:val="22"/>
        </w:rPr>
        <w:t>Safety needs two views. SVR counts rule-violating accepted tasks divided by accepted tasks, averaged over users then seeds; users with no attempts contribute zero. IER counts the fraction of an ungated all-catalogue top-5 outside the current feasible set, then averages interactions. It reveals proposals hidden by a zero executed SVR. We bypass SAPS’s internal output gate for this calculation; the probe also drives infeasible-arm penalties, so it is part of the training path as well as a diagnostic.</w:t>
      </w:r>
    </w:p>
    <w:p>
      <w:r>
        <w:rPr>
          <w:rFonts w:ascii="Arial" w:hAnsi="Arial"/>
          <w:sz w:val="22"/>
        </w:rPr>
        <w:t>We compare ten seed means with paired two-sided t intervals/tests. Bonferroni correction covers the two main reward comparisons and, separately, three bonus outcomes. Users share a learner and are not independent repetitions. Matching seeds also does not align every realized outcome across policies, because their choices consume randomness differently. Exact settings and reproduction instructions are in evaluation/README.md.</w:t>
      </w:r>
    </w:p>
    <w:p>
      <w:r>
        <w:rPr>
          <w:rFonts w:ascii="Arial" w:hAnsi="Arial"/>
          <w:sz w:val="22"/>
        </w:rPr>
        <w:br w:type="page"/>
      </w:r>
    </w:p>
    <w:p>
      <w:pPr>
        <w:pStyle w:val="Heading1"/>
      </w:pPr>
      <w:r>
        <w:rPr>
          <w:rFonts w:ascii="Arial" w:hAnsi="Arial"/>
          <w:sz w:val="22"/>
        </w:rPr>
        <w:t>6. Results and analysis</w:t>
      </w:r>
    </w:p>
    <w:p>
      <w:pPr>
        <w:pStyle w:val="Heading2"/>
      </w:pPr>
      <w:r>
        <w:rPr>
          <w:rFonts w:ascii="Arial" w:hAnsi="Arial"/>
          <w:sz w:val="22"/>
        </w:rPr>
        <w:t>6.1 Comparing the final one-task policies</w:t>
      </w:r>
    </w:p>
    <w:p>
      <w:r>
        <w:rPr>
          <w:rFonts w:ascii="Arial" w:hAnsi="Arial"/>
          <w:sz w:val="22"/>
        </w:rPr>
        <w:t>Table 1 summarizes our final Top-1 experiment. Reward is mean per-person cumulative utility over 60 days, averaged across ten seeds; ± is seed standard deviation. Acceptance and completion show the behavior behind that total.</w:t>
      </w:r>
    </w:p>
    <w:tbl>
      <w:tblPr>
        <w:tblStyle w:val="LightShading-Accent1"/>
        <w:tblW w:type="auto" w:w="0"/>
        <w:tblLook w:firstColumn="1" w:firstRow="1" w:lastColumn="0" w:lastRow="0" w:noHBand="0" w:noVBand="1" w:val="04A0"/>
      </w:tblPr>
      <w:tblGrid>
        <w:gridCol w:w="1949"/>
        <w:gridCol w:w="1949"/>
        <w:gridCol w:w="1949"/>
        <w:gridCol w:w="1949"/>
        <w:gridCol w:w="1949"/>
      </w:tblGrid>
      <w:tr>
        <w:trPr>
          <w:cantSplit/>
        </w:trPr>
        <w:tc>
          <w:tcPr>
            <w:tcW w:type="dxa" w:w="1949"/>
          </w:tcPr>
          <w:p>
            <w:pPr>
              <w:spacing w:after="60" w:before="0" w:line="240" w:lineRule="auto"/>
            </w:pPr>
            <w:r>
              <w:rPr>
                <w:rFonts w:ascii="Arial" w:hAnsi="Arial"/>
                <w:sz w:val="22"/>
              </w:rPr>
              <w:t>Policy</w:t>
            </w:r>
          </w:p>
        </w:tc>
        <w:tc>
          <w:tcPr>
            <w:tcW w:type="dxa" w:w="1949"/>
          </w:tcPr>
          <w:p>
            <w:pPr>
              <w:spacing w:after="60" w:before="0" w:line="240" w:lineRule="auto"/>
            </w:pPr>
            <w:r>
              <w:rPr>
                <w:rFonts w:ascii="Arial" w:hAnsi="Arial"/>
                <w:sz w:val="22"/>
              </w:rPr>
              <w:t>Reward</w:t>
            </w:r>
          </w:p>
        </w:tc>
        <w:tc>
          <w:tcPr>
            <w:tcW w:type="dxa" w:w="1949"/>
          </w:tcPr>
          <w:p>
            <w:pPr>
              <w:spacing w:after="60" w:before="0" w:line="240" w:lineRule="auto"/>
            </w:pPr>
            <w:r>
              <w:rPr>
                <w:rFonts w:ascii="Arial" w:hAnsi="Arial"/>
                <w:sz w:val="22"/>
              </w:rPr>
              <w:t>IER</w:t>
            </w:r>
          </w:p>
        </w:tc>
        <w:tc>
          <w:tcPr>
            <w:tcW w:type="dxa" w:w="1949"/>
          </w:tcPr>
          <w:p>
            <w:pPr>
              <w:spacing w:after="60" w:before="0" w:line="240" w:lineRule="auto"/>
            </w:pPr>
            <w:r>
              <w:rPr>
                <w:rFonts w:ascii="Arial" w:hAnsi="Arial"/>
                <w:sz w:val="22"/>
              </w:rPr>
              <w:t>Accept</w:t>
            </w:r>
          </w:p>
        </w:tc>
        <w:tc>
          <w:tcPr>
            <w:tcW w:type="dxa" w:w="1949"/>
          </w:tcPr>
          <w:p>
            <w:pPr>
              <w:spacing w:after="60" w:before="0" w:line="240" w:lineRule="auto"/>
            </w:pPr>
            <w:r>
              <w:rPr>
                <w:rFonts w:ascii="Arial" w:hAnsi="Arial"/>
                <w:sz w:val="22"/>
              </w:rPr>
              <w:t>Complete</w:t>
            </w:r>
          </w:p>
        </w:tc>
      </w:tr>
      <w:tr>
        <w:trPr>
          <w:cantSplit/>
        </w:trPr>
        <w:tc>
          <w:tcPr>
            <w:tcW w:type="dxa" w:w="1949"/>
          </w:tcPr>
          <w:p>
            <w:pPr>
              <w:spacing w:after="60" w:before="0" w:line="240" w:lineRule="auto"/>
            </w:pPr>
            <w:r>
              <w:rPr>
                <w:rFonts w:ascii="Arial" w:hAnsi="Arial"/>
                <w:sz w:val="22"/>
              </w:rPr>
              <w:t>SAPS</w:t>
            </w:r>
          </w:p>
        </w:tc>
        <w:tc>
          <w:tcPr>
            <w:tcW w:type="dxa" w:w="1949"/>
          </w:tcPr>
          <w:p>
            <w:pPr>
              <w:spacing w:after="60" w:before="0" w:line="240" w:lineRule="auto"/>
            </w:pPr>
            <w:r>
              <w:rPr>
                <w:rFonts w:ascii="Arial" w:hAnsi="Arial"/>
                <w:sz w:val="22"/>
              </w:rPr>
              <w:t>27.61 ± 0.60</w:t>
            </w:r>
          </w:p>
        </w:tc>
        <w:tc>
          <w:tcPr>
            <w:tcW w:type="dxa" w:w="1949"/>
          </w:tcPr>
          <w:p>
            <w:pPr>
              <w:spacing w:after="60" w:before="0" w:line="240" w:lineRule="auto"/>
            </w:pPr>
            <w:r>
              <w:rPr>
                <w:rFonts w:ascii="Arial" w:hAnsi="Arial"/>
                <w:sz w:val="22"/>
              </w:rPr>
              <w:t>0.01535</w:t>
            </w:r>
          </w:p>
        </w:tc>
        <w:tc>
          <w:tcPr>
            <w:tcW w:type="dxa" w:w="1949"/>
          </w:tcPr>
          <w:p>
            <w:pPr>
              <w:spacing w:after="60" w:before="0" w:line="240" w:lineRule="auto"/>
            </w:pPr>
            <w:r>
              <w:rPr>
                <w:rFonts w:ascii="Arial" w:hAnsi="Arial"/>
                <w:sz w:val="22"/>
              </w:rPr>
              <w:t>0.549</w:t>
            </w:r>
          </w:p>
        </w:tc>
        <w:tc>
          <w:tcPr>
            <w:tcW w:type="dxa" w:w="1949"/>
          </w:tcPr>
          <w:p>
            <w:pPr>
              <w:spacing w:after="60" w:before="0" w:line="240" w:lineRule="auto"/>
            </w:pPr>
            <w:r>
              <w:rPr>
                <w:rFonts w:ascii="Arial" w:hAnsi="Arial"/>
                <w:sz w:val="22"/>
              </w:rPr>
              <w:t>0.521</w:t>
            </w:r>
          </w:p>
        </w:tc>
      </w:tr>
      <w:tr>
        <w:trPr>
          <w:cantSplit/>
        </w:trPr>
        <w:tc>
          <w:tcPr>
            <w:tcW w:type="dxa" w:w="1949"/>
          </w:tcPr>
          <w:p>
            <w:pPr>
              <w:spacing w:after="60" w:before="0" w:line="240" w:lineRule="auto"/>
            </w:pPr>
            <w:r>
              <w:rPr>
                <w:rFonts w:ascii="Arial" w:hAnsi="Arial"/>
                <w:sz w:val="22"/>
              </w:rPr>
              <w:t>LinUCB</w:t>
            </w:r>
          </w:p>
        </w:tc>
        <w:tc>
          <w:tcPr>
            <w:tcW w:type="dxa" w:w="1949"/>
          </w:tcPr>
          <w:p>
            <w:pPr>
              <w:spacing w:after="60" w:before="0" w:line="240" w:lineRule="auto"/>
            </w:pPr>
            <w:r>
              <w:rPr>
                <w:rFonts w:ascii="Arial" w:hAnsi="Arial"/>
                <w:sz w:val="22"/>
              </w:rPr>
              <w:t>27.40 ± 0.69</w:t>
            </w:r>
          </w:p>
        </w:tc>
        <w:tc>
          <w:tcPr>
            <w:tcW w:type="dxa" w:w="1949"/>
          </w:tcPr>
          <w:p>
            <w:pPr>
              <w:spacing w:after="60" w:before="0" w:line="240" w:lineRule="auto"/>
            </w:pPr>
            <w:r>
              <w:rPr>
                <w:rFonts w:ascii="Arial" w:hAnsi="Arial"/>
                <w:sz w:val="22"/>
              </w:rPr>
              <w:t>0.01528</w:t>
            </w:r>
          </w:p>
        </w:tc>
        <w:tc>
          <w:tcPr>
            <w:tcW w:type="dxa" w:w="1949"/>
          </w:tcPr>
          <w:p>
            <w:pPr>
              <w:spacing w:after="60" w:before="0" w:line="240" w:lineRule="auto"/>
            </w:pPr>
            <w:r>
              <w:rPr>
                <w:rFonts w:ascii="Arial" w:hAnsi="Arial"/>
                <w:sz w:val="22"/>
              </w:rPr>
              <w:t>0.545</w:t>
            </w:r>
          </w:p>
        </w:tc>
        <w:tc>
          <w:tcPr>
            <w:tcW w:type="dxa" w:w="1949"/>
          </w:tcPr>
          <w:p>
            <w:pPr>
              <w:spacing w:after="60" w:before="0" w:line="240" w:lineRule="auto"/>
            </w:pPr>
            <w:r>
              <w:rPr>
                <w:rFonts w:ascii="Arial" w:hAnsi="Arial"/>
                <w:sz w:val="22"/>
              </w:rPr>
              <w:t>0.518</w:t>
            </w:r>
          </w:p>
        </w:tc>
      </w:tr>
      <w:tr>
        <w:trPr>
          <w:cantSplit/>
        </w:trPr>
        <w:tc>
          <w:tcPr>
            <w:tcW w:type="dxa" w:w="1949"/>
          </w:tcPr>
          <w:p>
            <w:pPr>
              <w:spacing w:after="60" w:before="0" w:line="240" w:lineRule="auto"/>
            </w:pPr>
            <w:r>
              <w:rPr>
                <w:rFonts w:ascii="Arial" w:hAnsi="Arial"/>
                <w:sz w:val="22"/>
              </w:rPr>
              <w:t>Modified Neural</w:t>
            </w:r>
          </w:p>
        </w:tc>
        <w:tc>
          <w:tcPr>
            <w:tcW w:type="dxa" w:w="1949"/>
          </w:tcPr>
          <w:p>
            <w:pPr>
              <w:spacing w:after="60" w:before="0" w:line="240" w:lineRule="auto"/>
            </w:pPr>
            <w:r>
              <w:rPr>
                <w:rFonts w:ascii="Arial" w:hAnsi="Arial"/>
                <w:sz w:val="22"/>
              </w:rPr>
              <w:t>22.20 ± 1.67</w:t>
            </w:r>
          </w:p>
        </w:tc>
        <w:tc>
          <w:tcPr>
            <w:tcW w:type="dxa" w:w="1949"/>
          </w:tcPr>
          <w:p>
            <w:pPr>
              <w:spacing w:after="60" w:before="0" w:line="240" w:lineRule="auto"/>
            </w:pPr>
            <w:r>
              <w:rPr>
                <w:rFonts w:ascii="Arial" w:hAnsi="Arial"/>
                <w:sz w:val="22"/>
              </w:rPr>
              <w:t>0.00035</w:t>
            </w:r>
          </w:p>
        </w:tc>
        <w:tc>
          <w:tcPr>
            <w:tcW w:type="dxa" w:w="1949"/>
          </w:tcPr>
          <w:p>
            <w:pPr>
              <w:spacing w:after="60" w:before="0" w:line="240" w:lineRule="auto"/>
            </w:pPr>
            <w:r>
              <w:rPr>
                <w:rFonts w:ascii="Arial" w:hAnsi="Arial"/>
                <w:sz w:val="22"/>
              </w:rPr>
              <w:t>0.441</w:t>
            </w:r>
          </w:p>
        </w:tc>
        <w:tc>
          <w:tcPr>
            <w:tcW w:type="dxa" w:w="1949"/>
          </w:tcPr>
          <w:p>
            <w:pPr>
              <w:spacing w:after="60" w:before="0" w:line="240" w:lineRule="auto"/>
            </w:pPr>
            <w:r>
              <w:rPr>
                <w:rFonts w:ascii="Arial" w:hAnsi="Arial"/>
                <w:sz w:val="22"/>
              </w:rPr>
              <w:t>0.420</w:t>
            </w:r>
          </w:p>
        </w:tc>
      </w:tr>
      <w:tr>
        <w:trPr>
          <w:cantSplit/>
        </w:trPr>
        <w:tc>
          <w:tcPr>
            <w:tcW w:type="dxa" w:w="1949"/>
          </w:tcPr>
          <w:p>
            <w:pPr>
              <w:spacing w:after="60" w:before="0" w:line="240" w:lineRule="auto"/>
            </w:pPr>
            <w:r>
              <w:rPr>
                <w:rFonts w:ascii="Arial" w:hAnsi="Arial"/>
                <w:sz w:val="22"/>
              </w:rPr>
              <w:t>Random</w:t>
            </w:r>
          </w:p>
        </w:tc>
        <w:tc>
          <w:tcPr>
            <w:tcW w:type="dxa" w:w="1949"/>
          </w:tcPr>
          <w:p>
            <w:pPr>
              <w:spacing w:after="60" w:before="0" w:line="240" w:lineRule="auto"/>
            </w:pPr>
            <w:r>
              <w:rPr>
                <w:rFonts w:ascii="Arial" w:hAnsi="Arial"/>
                <w:sz w:val="22"/>
              </w:rPr>
              <w:t>32.25 ± 0.66</w:t>
            </w:r>
          </w:p>
        </w:tc>
        <w:tc>
          <w:tcPr>
            <w:tcW w:type="dxa" w:w="1949"/>
          </w:tcPr>
          <w:p>
            <w:pPr>
              <w:spacing w:after="60" w:before="0" w:line="240" w:lineRule="auto"/>
            </w:pPr>
            <w:r>
              <w:rPr>
                <w:rFonts w:ascii="Arial" w:hAnsi="Arial"/>
                <w:sz w:val="22"/>
              </w:rPr>
              <w:t>0.41082</w:t>
            </w:r>
          </w:p>
        </w:tc>
        <w:tc>
          <w:tcPr>
            <w:tcW w:type="dxa" w:w="1949"/>
          </w:tcPr>
          <w:p>
            <w:pPr>
              <w:spacing w:after="60" w:before="0" w:line="240" w:lineRule="auto"/>
            </w:pPr>
            <w:r>
              <w:rPr>
                <w:rFonts w:ascii="Arial" w:hAnsi="Arial"/>
                <w:sz w:val="22"/>
              </w:rPr>
              <w:t>0.622</w:t>
            </w:r>
          </w:p>
        </w:tc>
        <w:tc>
          <w:tcPr>
            <w:tcW w:type="dxa" w:w="1949"/>
          </w:tcPr>
          <w:p>
            <w:pPr>
              <w:spacing w:after="60" w:before="0" w:line="240" w:lineRule="auto"/>
            </w:pPr>
            <w:r>
              <w:rPr>
                <w:rFonts w:ascii="Arial" w:hAnsi="Arial"/>
                <w:sz w:val="22"/>
              </w:rPr>
              <w:t>0.584</w:t>
            </w:r>
          </w:p>
        </w:tc>
      </w:tr>
      <w:tr>
        <w:trPr>
          <w:cantSplit/>
        </w:trPr>
        <w:tc>
          <w:tcPr>
            <w:tcW w:type="dxa" w:w="1949"/>
          </w:tcPr>
          <w:p>
            <w:pPr>
              <w:spacing w:after="60" w:before="0" w:line="240" w:lineRule="auto"/>
            </w:pPr>
            <w:r>
              <w:rPr>
                <w:rFonts w:ascii="Arial" w:hAnsi="Arial"/>
                <w:sz w:val="22"/>
              </w:rPr>
              <w:t>Popularity</w:t>
            </w:r>
          </w:p>
        </w:tc>
        <w:tc>
          <w:tcPr>
            <w:tcW w:type="dxa" w:w="1949"/>
          </w:tcPr>
          <w:p>
            <w:pPr>
              <w:spacing w:after="60" w:before="0" w:line="240" w:lineRule="auto"/>
            </w:pPr>
            <w:r>
              <w:rPr>
                <w:rFonts w:ascii="Arial" w:hAnsi="Arial"/>
                <w:sz w:val="22"/>
              </w:rPr>
              <w:t>22.99 ± 0.79</w:t>
            </w:r>
          </w:p>
        </w:tc>
        <w:tc>
          <w:tcPr>
            <w:tcW w:type="dxa" w:w="1949"/>
          </w:tcPr>
          <w:p>
            <w:pPr>
              <w:spacing w:after="60" w:before="0" w:line="240" w:lineRule="auto"/>
            </w:pPr>
            <w:r>
              <w:rPr>
                <w:rFonts w:ascii="Arial" w:hAnsi="Arial"/>
                <w:sz w:val="22"/>
              </w:rPr>
              <w:t>0.01060</w:t>
            </w:r>
          </w:p>
        </w:tc>
        <w:tc>
          <w:tcPr>
            <w:tcW w:type="dxa" w:w="1949"/>
          </w:tcPr>
          <w:p>
            <w:pPr>
              <w:spacing w:after="60" w:before="0" w:line="240" w:lineRule="auto"/>
            </w:pPr>
            <w:r>
              <w:rPr>
                <w:rFonts w:ascii="Arial" w:hAnsi="Arial"/>
                <w:sz w:val="22"/>
              </w:rPr>
              <w:t>0.455</w:t>
            </w:r>
          </w:p>
        </w:tc>
        <w:tc>
          <w:tcPr>
            <w:tcW w:type="dxa" w:w="1949"/>
          </w:tcPr>
          <w:p>
            <w:pPr>
              <w:spacing w:after="60" w:before="0" w:line="240" w:lineRule="auto"/>
            </w:pPr>
            <w:r>
              <w:rPr>
                <w:rFonts w:ascii="Arial" w:hAnsi="Arial"/>
                <w:sz w:val="22"/>
              </w:rPr>
              <w:t>0.435</w:t>
            </w:r>
          </w:p>
        </w:tc>
      </w:tr>
      <w:tr>
        <w:trPr>
          <w:cantSplit/>
        </w:trPr>
        <w:tc>
          <w:tcPr>
            <w:tcW w:type="dxa" w:w="1949"/>
          </w:tcPr>
          <w:p>
            <w:pPr>
              <w:spacing w:after="60" w:before="0" w:line="240" w:lineRule="auto"/>
            </w:pPr>
            <w:r>
              <w:rPr>
                <w:rFonts w:ascii="Arial" w:hAnsi="Arial"/>
                <w:sz w:val="22"/>
              </w:rPr>
              <w:t>RuleBased</w:t>
            </w:r>
          </w:p>
        </w:tc>
        <w:tc>
          <w:tcPr>
            <w:tcW w:type="dxa" w:w="1949"/>
          </w:tcPr>
          <w:p>
            <w:pPr>
              <w:spacing w:after="60" w:before="0" w:line="240" w:lineRule="auto"/>
            </w:pPr>
            <w:r>
              <w:rPr>
                <w:rFonts w:ascii="Arial" w:hAnsi="Arial"/>
                <w:sz w:val="22"/>
              </w:rPr>
              <w:t>22.02 ± 0.68</w:t>
            </w:r>
          </w:p>
        </w:tc>
        <w:tc>
          <w:tcPr>
            <w:tcW w:type="dxa" w:w="1949"/>
          </w:tcPr>
          <w:p>
            <w:pPr>
              <w:spacing w:after="60" w:before="0" w:line="240" w:lineRule="auto"/>
            </w:pPr>
            <w:r>
              <w:rPr>
                <w:rFonts w:ascii="Arial" w:hAnsi="Arial"/>
                <w:sz w:val="22"/>
              </w:rPr>
              <w:t>0.32597</w:t>
            </w:r>
          </w:p>
        </w:tc>
        <w:tc>
          <w:tcPr>
            <w:tcW w:type="dxa" w:w="1949"/>
          </w:tcPr>
          <w:p>
            <w:pPr>
              <w:spacing w:after="60" w:before="0" w:line="240" w:lineRule="auto"/>
            </w:pPr>
            <w:r>
              <w:rPr>
                <w:rFonts w:ascii="Arial" w:hAnsi="Arial"/>
                <w:sz w:val="22"/>
              </w:rPr>
              <w:t>0.438</w:t>
            </w:r>
          </w:p>
        </w:tc>
        <w:tc>
          <w:tcPr>
            <w:tcW w:type="dxa" w:w="1949"/>
          </w:tcPr>
          <w:p>
            <w:pPr>
              <w:spacing w:after="60" w:before="0" w:line="240" w:lineRule="auto"/>
            </w:pPr>
            <w:r>
              <w:rPr>
                <w:rFonts w:ascii="Arial" w:hAnsi="Arial"/>
                <w:sz w:val="22"/>
              </w:rPr>
              <w:t>0.415</w:t>
            </w:r>
          </w:p>
        </w:tc>
      </w:tr>
      <w:tr>
        <w:trPr>
          <w:cantSplit/>
        </w:trPr>
        <w:tc>
          <w:tcPr>
            <w:tcW w:type="dxa" w:w="1949"/>
          </w:tcPr>
          <w:p>
            <w:pPr>
              <w:spacing w:after="60" w:before="0" w:line="240" w:lineRule="auto"/>
            </w:pPr>
            <w:r>
              <w:rPr>
                <w:rFonts w:ascii="Arial" w:hAnsi="Arial"/>
                <w:sz w:val="22"/>
              </w:rPr>
              <w:t>ε-Greedy</w:t>
            </w:r>
          </w:p>
        </w:tc>
        <w:tc>
          <w:tcPr>
            <w:tcW w:type="dxa" w:w="1949"/>
          </w:tcPr>
          <w:p>
            <w:pPr>
              <w:spacing w:after="60" w:before="0" w:line="240" w:lineRule="auto"/>
            </w:pPr>
            <w:r>
              <w:rPr>
                <w:rFonts w:ascii="Arial" w:hAnsi="Arial"/>
                <w:sz w:val="22"/>
              </w:rPr>
              <w:t>24.74 ± 1.03</w:t>
            </w:r>
          </w:p>
        </w:tc>
        <w:tc>
          <w:tcPr>
            <w:tcW w:type="dxa" w:w="1949"/>
          </w:tcPr>
          <w:p>
            <w:pPr>
              <w:spacing w:after="60" w:before="0" w:line="240" w:lineRule="auto"/>
            </w:pPr>
            <w:r>
              <w:rPr>
                <w:rFonts w:ascii="Arial" w:hAnsi="Arial"/>
                <w:sz w:val="22"/>
              </w:rPr>
              <w:t>0.05245</w:t>
            </w:r>
          </w:p>
        </w:tc>
        <w:tc>
          <w:tcPr>
            <w:tcW w:type="dxa" w:w="1949"/>
          </w:tcPr>
          <w:p>
            <w:pPr>
              <w:spacing w:after="60" w:before="0" w:line="240" w:lineRule="auto"/>
            </w:pPr>
            <w:r>
              <w:rPr>
                <w:rFonts w:ascii="Arial" w:hAnsi="Arial"/>
                <w:sz w:val="22"/>
              </w:rPr>
              <w:t>0.490</w:t>
            </w:r>
          </w:p>
        </w:tc>
        <w:tc>
          <w:tcPr>
            <w:tcW w:type="dxa" w:w="1949"/>
          </w:tcPr>
          <w:p>
            <w:pPr>
              <w:spacing w:after="60" w:before="0" w:line="240" w:lineRule="auto"/>
            </w:pPr>
            <w:r>
              <w:rPr>
                <w:rFonts w:ascii="Arial" w:hAnsi="Arial"/>
                <w:sz w:val="22"/>
              </w:rPr>
              <w:t>0.464</w:t>
            </w:r>
          </w:p>
        </w:tc>
      </w:tr>
    </w:tbl>
    <w:p>
      <w:r>
        <w:rPr>
          <w:rFonts w:ascii="Arial" w:hAnsi="Arial"/>
          <w:sz w:val="22"/>
        </w:rPr>
        <w:t>Table 1. All seven filtered policies recorded SVR = 0 and offered a task on every simulated user-day. Detailed runs are stored in evaluation/results/final/main.json.</w:t>
      </w:r>
    </w:p>
    <w:p>
      <w:r>
        <w:rPr>
          <w:rFonts w:ascii="Arial" w:hAnsi="Arial"/>
          <w:sz w:val="22"/>
        </w:rPr>
        <w:t>SAPS reaches reward 27.6085 compared with LinUCB’s 27.3975. The difference is +0.2110, with a seed-paired 95% CI [−0.2159, 0.6378], raw p=0.2925 and adjusted p=0.5850. The improvement is too uncertain to support a performance claim. Their IER values are also close: 0.01535 and 0.01528. Adding the sampled term therefore changes the method, but has not demonstrated a useful gain in this setting.</w:t>
      </w:r>
    </w:p>
    <w:p>
      <w:r>
        <w:rPr>
          <w:rFonts w:ascii="Arial" w:hAnsi="Arial"/>
          <w:sz w:val="22"/>
        </w:rPr>
        <w:t>Random is the strongest policy on reward at 32.2533. SAPS–Random has a 95% CI [−5.1902, −4.0994] and adjusted p=2.53×10⁻⁸. Random also has high proposal IER (0.41082), but the shared filter keeps its delivered SVR at zero. This distinction matters: our system can intercept poor proposals without making the learned ranking better than random selection. We report this result alongside the shortlist and coverage diagnostics below.</w:t>
      </w:r>
    </w:p>
    <w:p>
      <w:pPr>
        <w:pStyle w:val="Heading2"/>
      </w:pPr>
      <w:r>
        <w:rPr>
          <w:rFonts w:ascii="Arial" w:hAnsi="Arial"/>
          <w:sz w:val="22"/>
        </w:rPr>
        <w:t>6.2 Reading the metrics together</w:t>
      </w:r>
    </w:p>
    <w:p>
      <w:r>
        <w:rPr>
          <w:rFonts w:ascii="Arial" w:hAnsi="Arial"/>
          <w:sz w:val="22"/>
        </w:rPr>
        <w:t>Looking only at SVR would make the filtered policies appear identical. Looking only at IER would favor very conservative proposals. Reward and completion add the missing question of whether users actually get useful, manageable tasks. We therefore interpret the table as a set of tradeoffs rather than use a single safety number to declare a winning recommender.</w:t>
      </w:r>
    </w:p>
    <w:p>
      <w:r>
        <w:rPr>
          <w:rFonts w:ascii="Arial" w:hAnsi="Arial"/>
          <w:sz w:val="22"/>
        </w:rPr>
        <w:t>For example, modified NeuralUCB has the lowest IER, but low reward and approximately one distinct selected task per user. Its safety-informed initialization and arm penalties can produce narrow recommendations. The RuleBased result also needs caution because its tied scores preserve catalogue order. These observations helped us distinguish implementation behavior from the name or complexity of a policy.</w:t>
      </w:r>
    </w:p>
    <w:p>
      <w:pPr>
        <w:pStyle w:val="Heading2"/>
      </w:pPr>
      <w:r>
        <w:rPr>
          <w:rFonts w:ascii="Arial" w:hAnsi="Arial"/>
          <w:sz w:val="22"/>
        </w:rPr>
        <w:t>6.3 What this changed in our interpretation</w:t>
      </w:r>
    </w:p>
    <w:p>
      <w:r>
        <w:rPr>
          <w:rFonts w:ascii="Arial" w:hAnsi="Arial"/>
          <w:sz w:val="22"/>
        </w:rPr>
        <w:t>Moving from a list-based benchmark to a one-task agent made the choice interface an important design issue. Correcting skipped-task feedback also changed what a reward total represented. We therefore reran a consistent setting and kept the earlier presentation tables separate, rather than treating a difference across versions as an algorithmic improvement. The development shortlist diagnostic and final bonus ablation below examine those mechanisms alongside the primary comparison.</w:t>
      </w:r>
    </w:p>
    <w:p>
      <w:r>
        <w:rPr>
          <w:rFonts w:ascii="Arial" w:hAnsi="Arial"/>
          <w:sz w:val="22"/>
        </w:rPr>
        <w:br w:type="page"/>
      </w:r>
    </w:p>
    <w:p>
      <w:pPr>
        <w:pStyle w:val="Heading1"/>
      </w:pPr>
      <w:r>
        <w:rPr>
          <w:rFonts w:ascii="Arial" w:hAnsi="Arial"/>
          <w:sz w:val="22"/>
        </w:rPr>
        <w:t>6.4 Investigating shortlist size and task coverage</w:t>
      </w:r>
    </w:p>
    <w:p>
      <w:r>
        <w:rPr>
          <w:rFonts w:ascii="Arial" w:hAnsi="Arial"/>
          <w:sz w:val="22"/>
        </w:rPr>
        <w:t>To understand how the interface affects evaluation, we compared Top-1 and Top-3 for SAPS, LinUCB and Random on development seeds 42–51. With three items, the simulated user chooses the highest-utility candidate with noise before deciding whether to attempt it. A ranker can therefore benefit from giving the simulator more choice, even if its first item is unchanged in quality.</w:t>
      </w:r>
    </w:p>
    <w:tbl>
      <w:tblPr>
        <w:tblStyle w:val="LightShading-Accent1"/>
        <w:tblW w:type="auto" w:w="0"/>
        <w:tblLook w:firstColumn="1" w:firstRow="1" w:lastColumn="0" w:lastRow="0" w:noHBand="0" w:noVBand="1" w:val="04A0"/>
      </w:tblPr>
      <w:tblGrid>
        <w:gridCol w:w="1949"/>
        <w:gridCol w:w="1949"/>
        <w:gridCol w:w="1949"/>
        <w:gridCol w:w="1949"/>
        <w:gridCol w:w="1949"/>
      </w:tblGrid>
      <w:tr>
        <w:trPr>
          <w:cantSplit/>
        </w:trPr>
        <w:tc>
          <w:tcPr>
            <w:tcW w:type="dxa" w:w="1949"/>
          </w:tcPr>
          <w:p>
            <w:pPr>
              <w:spacing w:after="60" w:before="0" w:line="240" w:lineRule="auto"/>
            </w:pPr>
            <w:r>
              <w:rPr>
                <w:rFonts w:ascii="Arial" w:hAnsi="Arial"/>
                <w:sz w:val="22"/>
              </w:rPr>
              <w:t>Policy</w:t>
            </w:r>
          </w:p>
        </w:tc>
        <w:tc>
          <w:tcPr>
            <w:tcW w:type="dxa" w:w="1949"/>
          </w:tcPr>
          <w:p>
            <w:pPr>
              <w:spacing w:after="60" w:before="0" w:line="240" w:lineRule="auto"/>
            </w:pPr>
            <w:r>
              <w:rPr>
                <w:rFonts w:ascii="Arial" w:hAnsi="Arial"/>
                <w:sz w:val="22"/>
              </w:rPr>
              <w:t>K</w:t>
            </w:r>
          </w:p>
        </w:tc>
        <w:tc>
          <w:tcPr>
            <w:tcW w:type="dxa" w:w="1949"/>
          </w:tcPr>
          <w:p>
            <w:pPr>
              <w:spacing w:after="60" w:before="0" w:line="240" w:lineRule="auto"/>
            </w:pPr>
            <w:r>
              <w:rPr>
                <w:rFonts w:ascii="Arial" w:hAnsi="Arial"/>
                <w:sz w:val="22"/>
              </w:rPr>
              <w:t>Reward</w:t>
            </w:r>
          </w:p>
        </w:tc>
        <w:tc>
          <w:tcPr>
            <w:tcW w:type="dxa" w:w="1949"/>
          </w:tcPr>
          <w:p>
            <w:pPr>
              <w:spacing w:after="60" w:before="0" w:line="240" w:lineRule="auto"/>
            </w:pPr>
            <w:r>
              <w:rPr>
                <w:rFonts w:ascii="Arial" w:hAnsi="Arial"/>
                <w:sz w:val="22"/>
              </w:rPr>
              <w:t>Unique / user</w:t>
            </w:r>
          </w:p>
        </w:tc>
        <w:tc>
          <w:tcPr>
            <w:tcW w:type="dxa" w:w="1949"/>
          </w:tcPr>
          <w:p>
            <w:pPr>
              <w:spacing w:after="60" w:before="0" w:line="240" w:lineRule="auto"/>
            </w:pPr>
            <w:r>
              <w:rPr>
                <w:rFonts w:ascii="Arial" w:hAnsi="Arial"/>
                <w:sz w:val="22"/>
              </w:rPr>
              <w:t>Non-first choice</w:t>
            </w:r>
          </w:p>
        </w:tc>
      </w:tr>
      <w:tr>
        <w:trPr>
          <w:cantSplit/>
        </w:trPr>
        <w:tc>
          <w:tcPr>
            <w:tcW w:type="dxa" w:w="1949"/>
          </w:tcPr>
          <w:p>
            <w:pPr>
              <w:spacing w:after="60" w:before="0" w:line="240" w:lineRule="auto"/>
            </w:pPr>
            <w:r>
              <w:rPr>
                <w:rFonts w:ascii="Arial" w:hAnsi="Arial"/>
                <w:sz w:val="22"/>
              </w:rPr>
              <w:t>SAPS</w:t>
            </w:r>
          </w:p>
        </w:tc>
        <w:tc>
          <w:tcPr>
            <w:tcW w:type="dxa" w:w="1949"/>
          </w:tcPr>
          <w:p>
            <w:pPr>
              <w:spacing w:after="60" w:before="0" w:line="240" w:lineRule="auto"/>
            </w:pPr>
            <w:r>
              <w:rPr>
                <w:rFonts w:ascii="Arial" w:hAnsi="Arial"/>
                <w:sz w:val="22"/>
              </w:rPr>
              <w:t>1</w:t>
            </w:r>
          </w:p>
        </w:tc>
        <w:tc>
          <w:tcPr>
            <w:tcW w:type="dxa" w:w="1949"/>
          </w:tcPr>
          <w:p>
            <w:pPr>
              <w:spacing w:after="60" w:before="0" w:line="240" w:lineRule="auto"/>
            </w:pPr>
            <w:r>
              <w:rPr>
                <w:rFonts w:ascii="Arial" w:hAnsi="Arial"/>
                <w:sz w:val="22"/>
              </w:rPr>
              <w:t>27.011</w:t>
            </w:r>
          </w:p>
        </w:tc>
        <w:tc>
          <w:tcPr>
            <w:tcW w:type="dxa" w:w="1949"/>
          </w:tcPr>
          <w:p>
            <w:pPr>
              <w:spacing w:after="60" w:before="0" w:line="240" w:lineRule="auto"/>
            </w:pPr>
            <w:r>
              <w:rPr>
                <w:rFonts w:ascii="Arial" w:hAnsi="Arial"/>
                <w:sz w:val="22"/>
              </w:rPr>
              <w:t>17.59</w:t>
            </w:r>
          </w:p>
        </w:tc>
        <w:tc>
          <w:tcPr>
            <w:tcW w:type="dxa" w:w="1949"/>
          </w:tcPr>
          <w:p>
            <w:pPr>
              <w:spacing w:after="60" w:before="0" w:line="240" w:lineRule="auto"/>
            </w:pPr>
            <w:r>
              <w:rPr>
                <w:rFonts w:ascii="Arial" w:hAnsi="Arial"/>
                <w:sz w:val="22"/>
              </w:rPr>
              <w:t>0.000</w:t>
            </w:r>
          </w:p>
        </w:tc>
      </w:tr>
      <w:tr>
        <w:trPr>
          <w:cantSplit/>
        </w:trPr>
        <w:tc>
          <w:tcPr>
            <w:tcW w:type="dxa" w:w="1949"/>
          </w:tcPr>
          <w:p>
            <w:pPr>
              <w:spacing w:after="60" w:before="0" w:line="240" w:lineRule="auto"/>
            </w:pPr>
            <w:r>
              <w:rPr>
                <w:rFonts w:ascii="Arial" w:hAnsi="Arial"/>
                <w:sz w:val="22"/>
              </w:rPr>
              <w:t>SAPS</w:t>
            </w:r>
          </w:p>
        </w:tc>
        <w:tc>
          <w:tcPr>
            <w:tcW w:type="dxa" w:w="1949"/>
          </w:tcPr>
          <w:p>
            <w:pPr>
              <w:spacing w:after="60" w:before="0" w:line="240" w:lineRule="auto"/>
            </w:pPr>
            <w:r>
              <w:rPr>
                <w:rFonts w:ascii="Arial" w:hAnsi="Arial"/>
                <w:sz w:val="22"/>
              </w:rPr>
              <w:t>3</w:t>
            </w:r>
          </w:p>
        </w:tc>
        <w:tc>
          <w:tcPr>
            <w:tcW w:type="dxa" w:w="1949"/>
          </w:tcPr>
          <w:p>
            <w:pPr>
              <w:spacing w:after="60" w:before="0" w:line="240" w:lineRule="auto"/>
            </w:pPr>
            <w:r>
              <w:rPr>
                <w:rFonts w:ascii="Arial" w:hAnsi="Arial"/>
                <w:sz w:val="22"/>
              </w:rPr>
              <w:t>31.318</w:t>
            </w:r>
          </w:p>
        </w:tc>
        <w:tc>
          <w:tcPr>
            <w:tcW w:type="dxa" w:w="1949"/>
          </w:tcPr>
          <w:p>
            <w:pPr>
              <w:spacing w:after="60" w:before="0" w:line="240" w:lineRule="auto"/>
            </w:pPr>
            <w:r>
              <w:rPr>
                <w:rFonts w:ascii="Arial" w:hAnsi="Arial"/>
                <w:sz w:val="22"/>
              </w:rPr>
              <w:t>18.61</w:t>
            </w:r>
          </w:p>
        </w:tc>
        <w:tc>
          <w:tcPr>
            <w:tcW w:type="dxa" w:w="1949"/>
          </w:tcPr>
          <w:p>
            <w:pPr>
              <w:spacing w:after="60" w:before="0" w:line="240" w:lineRule="auto"/>
            </w:pPr>
            <w:r>
              <w:rPr>
                <w:rFonts w:ascii="Arial" w:hAnsi="Arial"/>
                <w:sz w:val="22"/>
              </w:rPr>
              <w:t>0.655</w:t>
            </w:r>
          </w:p>
        </w:tc>
      </w:tr>
      <w:tr>
        <w:trPr>
          <w:cantSplit/>
        </w:trPr>
        <w:tc>
          <w:tcPr>
            <w:tcW w:type="dxa" w:w="1949"/>
          </w:tcPr>
          <w:p>
            <w:pPr>
              <w:spacing w:after="60" w:before="0" w:line="240" w:lineRule="auto"/>
            </w:pPr>
            <w:r>
              <w:rPr>
                <w:rFonts w:ascii="Arial" w:hAnsi="Arial"/>
                <w:sz w:val="22"/>
              </w:rPr>
              <w:t>LinUCB</w:t>
            </w:r>
          </w:p>
        </w:tc>
        <w:tc>
          <w:tcPr>
            <w:tcW w:type="dxa" w:w="1949"/>
          </w:tcPr>
          <w:p>
            <w:pPr>
              <w:spacing w:after="60" w:before="0" w:line="240" w:lineRule="auto"/>
            </w:pPr>
            <w:r>
              <w:rPr>
                <w:rFonts w:ascii="Arial" w:hAnsi="Arial"/>
                <w:sz w:val="22"/>
              </w:rPr>
              <w:t>1</w:t>
            </w:r>
          </w:p>
        </w:tc>
        <w:tc>
          <w:tcPr>
            <w:tcW w:type="dxa" w:w="1949"/>
          </w:tcPr>
          <w:p>
            <w:pPr>
              <w:spacing w:after="60" w:before="0" w:line="240" w:lineRule="auto"/>
            </w:pPr>
            <w:r>
              <w:rPr>
                <w:rFonts w:ascii="Arial" w:hAnsi="Arial"/>
                <w:sz w:val="22"/>
              </w:rPr>
              <w:t>27.127</w:t>
            </w:r>
          </w:p>
        </w:tc>
        <w:tc>
          <w:tcPr>
            <w:tcW w:type="dxa" w:w="1949"/>
          </w:tcPr>
          <w:p>
            <w:pPr>
              <w:spacing w:after="60" w:before="0" w:line="240" w:lineRule="auto"/>
            </w:pPr>
            <w:r>
              <w:rPr>
                <w:rFonts w:ascii="Arial" w:hAnsi="Arial"/>
                <w:sz w:val="22"/>
              </w:rPr>
              <w:t>16.82</w:t>
            </w:r>
          </w:p>
        </w:tc>
        <w:tc>
          <w:tcPr>
            <w:tcW w:type="dxa" w:w="1949"/>
          </w:tcPr>
          <w:p>
            <w:pPr>
              <w:spacing w:after="60" w:before="0" w:line="240" w:lineRule="auto"/>
            </w:pPr>
            <w:r>
              <w:rPr>
                <w:rFonts w:ascii="Arial" w:hAnsi="Arial"/>
                <w:sz w:val="22"/>
              </w:rPr>
              <w:t>0.000</w:t>
            </w:r>
          </w:p>
        </w:tc>
      </w:tr>
      <w:tr>
        <w:trPr>
          <w:cantSplit/>
        </w:trPr>
        <w:tc>
          <w:tcPr>
            <w:tcW w:type="dxa" w:w="1949"/>
          </w:tcPr>
          <w:p>
            <w:pPr>
              <w:spacing w:after="60" w:before="0" w:line="240" w:lineRule="auto"/>
            </w:pPr>
            <w:r>
              <w:rPr>
                <w:rFonts w:ascii="Arial" w:hAnsi="Arial"/>
                <w:sz w:val="22"/>
              </w:rPr>
              <w:t>LinUCB</w:t>
            </w:r>
          </w:p>
        </w:tc>
        <w:tc>
          <w:tcPr>
            <w:tcW w:type="dxa" w:w="1949"/>
          </w:tcPr>
          <w:p>
            <w:pPr>
              <w:spacing w:after="60" w:before="0" w:line="240" w:lineRule="auto"/>
            </w:pPr>
            <w:r>
              <w:rPr>
                <w:rFonts w:ascii="Arial" w:hAnsi="Arial"/>
                <w:sz w:val="22"/>
              </w:rPr>
              <w:t>3</w:t>
            </w:r>
          </w:p>
        </w:tc>
        <w:tc>
          <w:tcPr>
            <w:tcW w:type="dxa" w:w="1949"/>
          </w:tcPr>
          <w:p>
            <w:pPr>
              <w:spacing w:after="60" w:before="0" w:line="240" w:lineRule="auto"/>
            </w:pPr>
            <w:r>
              <w:rPr>
                <w:rFonts w:ascii="Arial" w:hAnsi="Arial"/>
                <w:sz w:val="22"/>
              </w:rPr>
              <w:t>30.885</w:t>
            </w:r>
          </w:p>
        </w:tc>
        <w:tc>
          <w:tcPr>
            <w:tcW w:type="dxa" w:w="1949"/>
          </w:tcPr>
          <w:p>
            <w:pPr>
              <w:spacing w:after="60" w:before="0" w:line="240" w:lineRule="auto"/>
            </w:pPr>
            <w:r>
              <w:rPr>
                <w:rFonts w:ascii="Arial" w:hAnsi="Arial"/>
                <w:sz w:val="22"/>
              </w:rPr>
              <w:t>18.16</w:t>
            </w:r>
          </w:p>
        </w:tc>
        <w:tc>
          <w:tcPr>
            <w:tcW w:type="dxa" w:w="1949"/>
          </w:tcPr>
          <w:p>
            <w:pPr>
              <w:spacing w:after="60" w:before="0" w:line="240" w:lineRule="auto"/>
            </w:pPr>
            <w:r>
              <w:rPr>
                <w:rFonts w:ascii="Arial" w:hAnsi="Arial"/>
                <w:sz w:val="22"/>
              </w:rPr>
              <w:t>0.665</w:t>
            </w:r>
          </w:p>
        </w:tc>
      </w:tr>
      <w:tr>
        <w:trPr>
          <w:cantSplit/>
        </w:trPr>
        <w:tc>
          <w:tcPr>
            <w:tcW w:type="dxa" w:w="1949"/>
          </w:tcPr>
          <w:p>
            <w:pPr>
              <w:spacing w:after="60" w:before="0" w:line="240" w:lineRule="auto"/>
            </w:pPr>
            <w:r>
              <w:rPr>
                <w:rFonts w:ascii="Arial" w:hAnsi="Arial"/>
                <w:sz w:val="22"/>
              </w:rPr>
              <w:t>Random</w:t>
            </w:r>
          </w:p>
        </w:tc>
        <w:tc>
          <w:tcPr>
            <w:tcW w:type="dxa" w:w="1949"/>
          </w:tcPr>
          <w:p>
            <w:pPr>
              <w:spacing w:after="60" w:before="0" w:line="240" w:lineRule="auto"/>
            </w:pPr>
            <w:r>
              <w:rPr>
                <w:rFonts w:ascii="Arial" w:hAnsi="Arial"/>
                <w:sz w:val="22"/>
              </w:rPr>
              <w:t>1</w:t>
            </w:r>
          </w:p>
        </w:tc>
        <w:tc>
          <w:tcPr>
            <w:tcW w:type="dxa" w:w="1949"/>
          </w:tcPr>
          <w:p>
            <w:pPr>
              <w:spacing w:after="60" w:before="0" w:line="240" w:lineRule="auto"/>
            </w:pPr>
            <w:r>
              <w:rPr>
                <w:rFonts w:ascii="Arial" w:hAnsi="Arial"/>
                <w:sz w:val="22"/>
              </w:rPr>
              <w:t>31.890</w:t>
            </w:r>
          </w:p>
        </w:tc>
        <w:tc>
          <w:tcPr>
            <w:tcW w:type="dxa" w:w="1949"/>
          </w:tcPr>
          <w:p>
            <w:pPr>
              <w:spacing w:after="60" w:before="0" w:line="240" w:lineRule="auto"/>
            </w:pPr>
            <w:r>
              <w:rPr>
                <w:rFonts w:ascii="Arial" w:hAnsi="Arial"/>
                <w:sz w:val="22"/>
              </w:rPr>
              <w:t>37.33</w:t>
            </w:r>
          </w:p>
        </w:tc>
        <w:tc>
          <w:tcPr>
            <w:tcW w:type="dxa" w:w="1949"/>
          </w:tcPr>
          <w:p>
            <w:pPr>
              <w:spacing w:after="60" w:before="0" w:line="240" w:lineRule="auto"/>
            </w:pPr>
            <w:r>
              <w:rPr>
                <w:rFonts w:ascii="Arial" w:hAnsi="Arial"/>
                <w:sz w:val="22"/>
              </w:rPr>
              <w:t>0.000</w:t>
            </w:r>
          </w:p>
        </w:tc>
      </w:tr>
      <w:tr>
        <w:trPr>
          <w:cantSplit/>
        </w:trPr>
        <w:tc>
          <w:tcPr>
            <w:tcW w:type="dxa" w:w="1949"/>
          </w:tcPr>
          <w:p>
            <w:pPr>
              <w:spacing w:after="60" w:before="0" w:line="240" w:lineRule="auto"/>
            </w:pPr>
            <w:r>
              <w:rPr>
                <w:rFonts w:ascii="Arial" w:hAnsi="Arial"/>
                <w:sz w:val="22"/>
              </w:rPr>
              <w:t>Random</w:t>
            </w:r>
          </w:p>
        </w:tc>
        <w:tc>
          <w:tcPr>
            <w:tcW w:type="dxa" w:w="1949"/>
          </w:tcPr>
          <w:p>
            <w:pPr>
              <w:spacing w:after="60" w:before="0" w:line="240" w:lineRule="auto"/>
            </w:pPr>
            <w:r>
              <w:rPr>
                <w:rFonts w:ascii="Arial" w:hAnsi="Arial"/>
                <w:sz w:val="22"/>
              </w:rPr>
              <w:t>3</w:t>
            </w:r>
          </w:p>
        </w:tc>
        <w:tc>
          <w:tcPr>
            <w:tcW w:type="dxa" w:w="1949"/>
          </w:tcPr>
          <w:p>
            <w:pPr>
              <w:spacing w:after="60" w:before="0" w:line="240" w:lineRule="auto"/>
            </w:pPr>
            <w:r>
              <w:rPr>
                <w:rFonts w:ascii="Arial" w:hAnsi="Arial"/>
                <w:sz w:val="22"/>
              </w:rPr>
              <w:t>37.533</w:t>
            </w:r>
          </w:p>
        </w:tc>
        <w:tc>
          <w:tcPr>
            <w:tcW w:type="dxa" w:w="1949"/>
          </w:tcPr>
          <w:p>
            <w:pPr>
              <w:spacing w:after="60" w:before="0" w:line="240" w:lineRule="auto"/>
            </w:pPr>
            <w:r>
              <w:rPr>
                <w:rFonts w:ascii="Arial" w:hAnsi="Arial"/>
                <w:sz w:val="22"/>
              </w:rPr>
              <w:t>37.39</w:t>
            </w:r>
          </w:p>
        </w:tc>
        <w:tc>
          <w:tcPr>
            <w:tcW w:type="dxa" w:w="1949"/>
          </w:tcPr>
          <w:p>
            <w:pPr>
              <w:spacing w:after="60" w:before="0" w:line="240" w:lineRule="auto"/>
            </w:pPr>
            <w:r>
              <w:rPr>
                <w:rFonts w:ascii="Arial" w:hAnsi="Arial"/>
                <w:sz w:val="22"/>
              </w:rPr>
              <w:t>0.665</w:t>
            </w:r>
          </w:p>
        </w:tc>
      </w:tr>
    </w:tbl>
    <w:p>
      <w:r>
        <w:rPr>
          <w:rFonts w:ascii="Arial" w:hAnsi="Arial"/>
          <w:sz w:val="22"/>
        </w:rPr>
        <w:t>Table 2. With Top-3, the selected task is not the first item in roughly two-thirds of interactions. Reward rises for all three policies. This confirmed that shortlist size is a substantive experimental setting, not just a display preference. We keep Top-1 as the main comparison because it matches the live agent’s one-task output; Top-3 remains a separate diagnostic.</w:t>
      </w:r>
    </w:p>
    <w:p>
      <w:r>
        <w:rPr>
          <w:rFonts w:ascii="Arial" w:hAnsi="Arial"/>
          <w:sz w:val="22"/>
        </w:rPr>
        <w:t>We also examined coverage because Random’s advantage persists at both list sizes. It selects approximately 37 distinct tasks per user, compared with about 18 for SAPS. Broader exploration is a plausible contributor in a simulator whose choice utility includes novelty, but coverage, task difficulty, category and sampled histories change together. Our counts identify a hypothesis to test; they do not establish the cause of Random’s advantage.</w:t>
      </w:r>
    </w:p>
    <w:p>
      <w:r>
        <w:rPr>
          <w:rFonts w:ascii="Arial" w:hAnsi="Arial"/>
          <w:sz w:val="22"/>
        </w:rPr>
        <w:t>The practical lesson is to specify the user’s choice mechanism before comparing policies. A further study could vary diversity while keeping the remaining protocol fixed. That would be more informative than increasing exploration and assuming that any reward gain must have come from coverage.</w:t>
      </w:r>
    </w:p>
    <w:p>
      <w:pPr>
        <w:pStyle w:val="Heading2"/>
      </w:pPr>
      <w:r>
        <w:rPr>
          <w:rFonts w:ascii="Arial" w:hAnsi="Arial"/>
          <w:sz w:val="22"/>
        </w:rPr>
        <w:t>6.5 Separating the sampled bonus from the filter</w:t>
      </w:r>
    </w:p>
    <w:p>
      <w:r>
        <w:rPr>
          <w:rFonts w:ascii="Arial" w:hAnsi="Arial"/>
          <w:sz w:val="22"/>
        </w:rPr>
        <w:t>We next removed only the sampled contribution by comparing fixed τ=2 with τ=0 on final Top-1 seeds. The hard layer and other settings stay the same. In these runs, τ=0 matches the LinUCB reference. This ablation tests the reason for adding the term, rather than attributing every safety-related result to SAPS as a whole.</w:t>
      </w:r>
    </w:p>
    <w:tbl>
      <w:tblPr>
        <w:tblStyle w:val="LightShading-Accent1"/>
        <w:tblW w:type="auto" w:w="0"/>
        <w:tblLook w:firstColumn="1" w:firstRow="1" w:lastColumn="0" w:lastRow="0" w:noHBand="0" w:noVBand="1" w:val="04A0"/>
      </w:tblPr>
      <w:tblGrid>
        <w:gridCol w:w="2436"/>
        <w:gridCol w:w="2436"/>
        <w:gridCol w:w="2436"/>
        <w:gridCol w:w="2436"/>
      </w:tblGrid>
      <w:tr>
        <w:trPr>
          <w:cantSplit/>
        </w:trPr>
        <w:tc>
          <w:tcPr>
            <w:tcW w:type="dxa" w:w="2436"/>
          </w:tcPr>
          <w:p>
            <w:pPr>
              <w:spacing w:after="60" w:before="0" w:line="240" w:lineRule="auto"/>
            </w:pPr>
            <w:r>
              <w:rPr>
                <w:rFonts w:ascii="Arial" w:hAnsi="Arial"/>
                <w:sz w:val="22"/>
              </w:rPr>
              <w:t>Outcome</w:t>
            </w:r>
          </w:p>
        </w:tc>
        <w:tc>
          <w:tcPr>
            <w:tcW w:type="dxa" w:w="2436"/>
          </w:tcPr>
          <w:p>
            <w:pPr>
              <w:spacing w:after="60" w:before="0" w:line="240" w:lineRule="auto"/>
            </w:pPr>
            <w:r>
              <w:rPr>
                <w:rFonts w:ascii="Arial" w:hAnsi="Arial"/>
                <w:sz w:val="22"/>
              </w:rPr>
              <w:t>τ=2</w:t>
            </w:r>
          </w:p>
        </w:tc>
        <w:tc>
          <w:tcPr>
            <w:tcW w:type="dxa" w:w="2436"/>
          </w:tcPr>
          <w:p>
            <w:pPr>
              <w:spacing w:after="60" w:before="0" w:line="240" w:lineRule="auto"/>
            </w:pPr>
            <w:r>
              <w:rPr>
                <w:rFonts w:ascii="Arial" w:hAnsi="Arial"/>
                <w:sz w:val="22"/>
              </w:rPr>
              <w:t>τ=0</w:t>
            </w:r>
          </w:p>
        </w:tc>
        <w:tc>
          <w:tcPr>
            <w:tcW w:type="dxa" w:w="2436"/>
          </w:tcPr>
          <w:p>
            <w:pPr>
              <w:spacing w:after="60" w:before="0" w:line="240" w:lineRule="auto"/>
            </w:pPr>
            <w:r>
              <w:rPr>
                <w:rFonts w:ascii="Arial" w:hAnsi="Arial"/>
                <w:sz w:val="22"/>
              </w:rPr>
              <w:t>Adjusted p</w:t>
            </w:r>
          </w:p>
        </w:tc>
      </w:tr>
      <w:tr>
        <w:trPr>
          <w:cantSplit/>
        </w:trPr>
        <w:tc>
          <w:tcPr>
            <w:tcW w:type="dxa" w:w="2436"/>
          </w:tcPr>
          <w:p>
            <w:pPr>
              <w:spacing w:after="60" w:before="0" w:line="240" w:lineRule="auto"/>
            </w:pPr>
            <w:r>
              <w:rPr>
                <w:rFonts w:ascii="Arial" w:hAnsi="Arial"/>
                <w:sz w:val="22"/>
              </w:rPr>
              <w:t>Reward</w:t>
            </w:r>
          </w:p>
        </w:tc>
        <w:tc>
          <w:tcPr>
            <w:tcW w:type="dxa" w:w="2436"/>
          </w:tcPr>
          <w:p>
            <w:pPr>
              <w:spacing w:after="60" w:before="0" w:line="240" w:lineRule="auto"/>
            </w:pPr>
            <w:r>
              <w:rPr>
                <w:rFonts w:ascii="Arial" w:hAnsi="Arial"/>
                <w:sz w:val="22"/>
              </w:rPr>
              <w:t>27.6085</w:t>
            </w:r>
          </w:p>
        </w:tc>
        <w:tc>
          <w:tcPr>
            <w:tcW w:type="dxa" w:w="2436"/>
          </w:tcPr>
          <w:p>
            <w:pPr>
              <w:spacing w:after="60" w:before="0" w:line="240" w:lineRule="auto"/>
            </w:pPr>
            <w:r>
              <w:rPr>
                <w:rFonts w:ascii="Arial" w:hAnsi="Arial"/>
                <w:sz w:val="22"/>
              </w:rPr>
              <w:t>27.3975</w:t>
            </w:r>
          </w:p>
        </w:tc>
        <w:tc>
          <w:tcPr>
            <w:tcW w:type="dxa" w:w="2436"/>
          </w:tcPr>
          <w:p>
            <w:pPr>
              <w:spacing w:after="60" w:before="0" w:line="240" w:lineRule="auto"/>
            </w:pPr>
            <w:r>
              <w:rPr>
                <w:rFonts w:ascii="Arial" w:hAnsi="Arial"/>
                <w:sz w:val="22"/>
              </w:rPr>
              <w:t>0.8774</w:t>
            </w:r>
          </w:p>
        </w:tc>
      </w:tr>
      <w:tr>
        <w:trPr>
          <w:cantSplit/>
        </w:trPr>
        <w:tc>
          <w:tcPr>
            <w:tcW w:type="dxa" w:w="2436"/>
          </w:tcPr>
          <w:p>
            <w:pPr>
              <w:spacing w:after="60" w:before="0" w:line="240" w:lineRule="auto"/>
            </w:pPr>
            <w:r>
              <w:rPr>
                <w:rFonts w:ascii="Arial" w:hAnsi="Arial"/>
                <w:sz w:val="22"/>
              </w:rPr>
              <w:t>IER</w:t>
            </w:r>
          </w:p>
        </w:tc>
        <w:tc>
          <w:tcPr>
            <w:tcW w:type="dxa" w:w="2436"/>
          </w:tcPr>
          <w:p>
            <w:pPr>
              <w:spacing w:after="60" w:before="0" w:line="240" w:lineRule="auto"/>
            </w:pPr>
            <w:r>
              <w:rPr>
                <w:rFonts w:ascii="Arial" w:hAnsi="Arial"/>
                <w:sz w:val="22"/>
              </w:rPr>
              <w:t>0.01535</w:t>
            </w:r>
          </w:p>
        </w:tc>
        <w:tc>
          <w:tcPr>
            <w:tcW w:type="dxa" w:w="2436"/>
          </w:tcPr>
          <w:p>
            <w:pPr>
              <w:spacing w:after="60" w:before="0" w:line="240" w:lineRule="auto"/>
            </w:pPr>
            <w:r>
              <w:rPr>
                <w:rFonts w:ascii="Arial" w:hAnsi="Arial"/>
                <w:sz w:val="22"/>
              </w:rPr>
              <w:t>0.01528</w:t>
            </w:r>
          </w:p>
        </w:tc>
        <w:tc>
          <w:tcPr>
            <w:tcW w:type="dxa" w:w="2436"/>
          </w:tcPr>
          <w:p>
            <w:pPr>
              <w:spacing w:after="60" w:before="0" w:line="240" w:lineRule="auto"/>
            </w:pPr>
            <w:r>
              <w:rPr>
                <w:rFonts w:ascii="Arial" w:hAnsi="Arial"/>
                <w:sz w:val="22"/>
              </w:rPr>
              <w:t>1.0000</w:t>
            </w:r>
          </w:p>
        </w:tc>
      </w:tr>
      <w:tr>
        <w:trPr>
          <w:cantSplit/>
        </w:trPr>
        <w:tc>
          <w:tcPr>
            <w:tcW w:type="dxa" w:w="2436"/>
          </w:tcPr>
          <w:p>
            <w:pPr>
              <w:spacing w:after="60" w:before="0" w:line="240" w:lineRule="auto"/>
            </w:pPr>
            <w:r>
              <w:rPr>
                <w:rFonts w:ascii="Arial" w:hAnsi="Arial"/>
                <w:sz w:val="22"/>
              </w:rPr>
              <w:t>Acceptance</w:t>
            </w:r>
          </w:p>
        </w:tc>
        <w:tc>
          <w:tcPr>
            <w:tcW w:type="dxa" w:w="2436"/>
          </w:tcPr>
          <w:p>
            <w:pPr>
              <w:spacing w:after="60" w:before="0" w:line="240" w:lineRule="auto"/>
            </w:pPr>
            <w:r>
              <w:rPr>
                <w:rFonts w:ascii="Arial" w:hAnsi="Arial"/>
                <w:sz w:val="22"/>
              </w:rPr>
              <w:t>0.5492</w:t>
            </w:r>
          </w:p>
        </w:tc>
        <w:tc>
          <w:tcPr>
            <w:tcW w:type="dxa" w:w="2436"/>
          </w:tcPr>
          <w:p>
            <w:pPr>
              <w:spacing w:after="60" w:before="0" w:line="240" w:lineRule="auto"/>
            </w:pPr>
            <w:r>
              <w:rPr>
                <w:rFonts w:ascii="Arial" w:hAnsi="Arial"/>
                <w:sz w:val="22"/>
              </w:rPr>
              <w:t>0.5455</w:t>
            </w:r>
          </w:p>
        </w:tc>
        <w:tc>
          <w:tcPr>
            <w:tcW w:type="dxa" w:w="2436"/>
          </w:tcPr>
          <w:p>
            <w:pPr>
              <w:spacing w:after="60" w:before="0" w:line="240" w:lineRule="auto"/>
            </w:pPr>
            <w:r>
              <w:rPr>
                <w:rFonts w:ascii="Arial" w:hAnsi="Arial"/>
                <w:sz w:val="22"/>
              </w:rPr>
              <w:t>0.9341</w:t>
            </w:r>
          </w:p>
        </w:tc>
      </w:tr>
    </w:tbl>
    <w:p>
      <w:r>
        <w:rPr>
          <w:rFonts w:ascii="Arial" w:hAnsi="Arial"/>
          <w:sz w:val="22"/>
        </w:rPr>
        <w:t>Table 3. None of the three outcomes shows a supported gain after correction. The IER difference is +0.000067, with 95% CI [−0.000339, 0.000473]. Low overall IER can also reflect candidate restrictions and infeasible-arm penalties. We therefore keep the bonus as an implemented hypothesis, while recognizing that its present task-only posterior and the simulator may offer little additional signal. A parameter search alone would not resolve that question.</w:t>
      </w:r>
    </w:p>
    <w:p>
      <w:r>
        <w:rPr>
          <w:rFonts w:ascii="Arial" w:hAnsi="Arial"/>
          <w:sz w:val="22"/>
        </w:rPr>
        <w:br w:type="page"/>
      </w:r>
    </w:p>
    <w:p>
      <w:pPr>
        <w:pStyle w:val="Heading1"/>
      </w:pPr>
      <w:r>
        <w:rPr>
          <w:rFonts w:ascii="Arial" w:hAnsi="Arial"/>
          <w:sz w:val="22"/>
        </w:rPr>
        <w:t>6.6 Testing filtering, transfer and narrative behavior</w:t>
      </w:r>
    </w:p>
    <w:p>
      <w:pPr>
        <w:pStyle w:val="Heading2"/>
      </w:pPr>
      <w:r>
        <w:rPr>
          <w:rFonts w:ascii="Arial" w:hAnsi="Arial"/>
          <w:sz w:val="22"/>
        </w:rPr>
        <w:t>Runtime safety ablation</w:t>
      </w:r>
    </w:p>
    <w:p>
      <w:r>
        <w:rPr>
          <w:rFonts w:ascii="Arial" w:hAnsi="Arial"/>
          <w:sz w:val="22"/>
        </w:rPr>
        <w:t>We separately ran LinUCB with and without runtime filtering over the ten final seeds. We kept the emotional difficulty cap in both arms and evaluated accepted tasks against the same five pre-filter rules. This tests whether enforcement changes delivered recommendations, independently of the proposed sampled bonus.</w:t>
      </w:r>
    </w:p>
    <w:tbl>
      <w:tblPr>
        <w:tblStyle w:val="LightShading-Accent1"/>
        <w:tblW w:type="auto" w:w="0"/>
        <w:tblLook w:firstColumn="1" w:firstRow="1" w:lastColumn="0" w:lastRow="0" w:noHBand="0" w:noVBand="1" w:val="04A0"/>
      </w:tblPr>
      <w:tblGrid>
        <w:gridCol w:w="2436"/>
        <w:gridCol w:w="2436"/>
        <w:gridCol w:w="2436"/>
        <w:gridCol w:w="2436"/>
      </w:tblGrid>
      <w:tr>
        <w:trPr>
          <w:cantSplit/>
        </w:trPr>
        <w:tc>
          <w:tcPr>
            <w:tcW w:type="dxa" w:w="2436"/>
          </w:tcPr>
          <w:p>
            <w:pPr>
              <w:spacing w:after="60" w:before="0" w:line="240" w:lineRule="auto"/>
            </w:pPr>
            <w:r>
              <w:rPr>
                <w:rFonts w:ascii="Arial" w:hAnsi="Arial"/>
                <w:sz w:val="22"/>
              </w:rPr>
              <w:t>Setting</w:t>
            </w:r>
          </w:p>
        </w:tc>
        <w:tc>
          <w:tcPr>
            <w:tcW w:type="dxa" w:w="2436"/>
          </w:tcPr>
          <w:p>
            <w:pPr>
              <w:spacing w:after="60" w:before="0" w:line="240" w:lineRule="auto"/>
            </w:pPr>
            <w:r>
              <w:rPr>
                <w:rFonts w:ascii="Arial" w:hAnsi="Arial"/>
                <w:sz w:val="22"/>
              </w:rPr>
              <w:t>Reward</w:t>
            </w:r>
          </w:p>
        </w:tc>
        <w:tc>
          <w:tcPr>
            <w:tcW w:type="dxa" w:w="2436"/>
          </w:tcPr>
          <w:p>
            <w:pPr>
              <w:spacing w:after="60" w:before="0" w:line="240" w:lineRule="auto"/>
            </w:pPr>
            <w:r>
              <w:rPr>
                <w:rFonts w:ascii="Arial" w:hAnsi="Arial"/>
                <w:sz w:val="22"/>
              </w:rPr>
              <w:t>Macro SVR</w:t>
            </w:r>
          </w:p>
        </w:tc>
        <w:tc>
          <w:tcPr>
            <w:tcW w:type="dxa" w:w="2436"/>
          </w:tcPr>
          <w:p>
            <w:pPr>
              <w:spacing w:after="60" w:before="0" w:line="240" w:lineRule="auto"/>
            </w:pPr>
            <w:r>
              <w:rPr>
                <w:rFonts w:ascii="Arial" w:hAnsi="Arial"/>
                <w:sz w:val="22"/>
              </w:rPr>
              <w:t>Violations / attempts</w:t>
            </w:r>
          </w:p>
        </w:tc>
      </w:tr>
      <w:tr>
        <w:trPr>
          <w:cantSplit/>
        </w:trPr>
        <w:tc>
          <w:tcPr>
            <w:tcW w:type="dxa" w:w="2436"/>
          </w:tcPr>
          <w:p>
            <w:pPr>
              <w:spacing w:after="60" w:before="0" w:line="240" w:lineRule="auto"/>
            </w:pPr>
            <w:r>
              <w:rPr>
                <w:rFonts w:ascii="Arial" w:hAnsi="Arial"/>
                <w:sz w:val="22"/>
              </w:rPr>
              <w:t>With runtime safety</w:t>
            </w:r>
          </w:p>
        </w:tc>
        <w:tc>
          <w:tcPr>
            <w:tcW w:type="dxa" w:w="2436"/>
          </w:tcPr>
          <w:p>
            <w:pPr>
              <w:spacing w:after="60" w:before="0" w:line="240" w:lineRule="auto"/>
            </w:pPr>
            <w:r>
              <w:rPr>
                <w:rFonts w:ascii="Arial" w:hAnsi="Arial"/>
                <w:sz w:val="22"/>
              </w:rPr>
              <w:t>27.3975</w:t>
            </w:r>
          </w:p>
        </w:tc>
        <w:tc>
          <w:tcPr>
            <w:tcW w:type="dxa" w:w="2436"/>
          </w:tcPr>
          <w:p>
            <w:pPr>
              <w:spacing w:after="60" w:before="0" w:line="240" w:lineRule="auto"/>
            </w:pPr>
            <w:r>
              <w:rPr>
                <w:rFonts w:ascii="Arial" w:hAnsi="Arial"/>
                <w:sz w:val="22"/>
              </w:rPr>
              <w:t>0.0000</w:t>
            </w:r>
          </w:p>
        </w:tc>
        <w:tc>
          <w:tcPr>
            <w:tcW w:type="dxa" w:w="2436"/>
          </w:tcPr>
          <w:p>
            <w:pPr>
              <w:spacing w:after="60" w:before="0" w:line="240" w:lineRule="auto"/>
            </w:pPr>
            <w:r>
              <w:rPr>
                <w:rFonts w:ascii="Arial" w:hAnsi="Arial"/>
                <w:sz w:val="22"/>
              </w:rPr>
              <w:t>0 / 6546</w:t>
            </w:r>
          </w:p>
        </w:tc>
      </w:tr>
      <w:tr>
        <w:trPr>
          <w:cantSplit/>
        </w:trPr>
        <w:tc>
          <w:tcPr>
            <w:tcW w:type="dxa" w:w="2436"/>
          </w:tcPr>
          <w:p>
            <w:pPr>
              <w:spacing w:after="60" w:before="0" w:line="240" w:lineRule="auto"/>
            </w:pPr>
            <w:r>
              <w:rPr>
                <w:rFonts w:ascii="Arial" w:hAnsi="Arial"/>
                <w:sz w:val="22"/>
              </w:rPr>
              <w:t>Without runtime safety</w:t>
            </w:r>
          </w:p>
        </w:tc>
        <w:tc>
          <w:tcPr>
            <w:tcW w:type="dxa" w:w="2436"/>
          </w:tcPr>
          <w:p>
            <w:pPr>
              <w:spacing w:after="60" w:before="0" w:line="240" w:lineRule="auto"/>
            </w:pPr>
            <w:r>
              <w:rPr>
                <w:rFonts w:ascii="Arial" w:hAnsi="Arial"/>
                <w:sz w:val="22"/>
              </w:rPr>
              <w:t>28.6097</w:t>
            </w:r>
          </w:p>
        </w:tc>
        <w:tc>
          <w:tcPr>
            <w:tcW w:type="dxa" w:w="2436"/>
          </w:tcPr>
          <w:p>
            <w:pPr>
              <w:spacing w:after="60" w:before="0" w:line="240" w:lineRule="auto"/>
            </w:pPr>
            <w:r>
              <w:rPr>
                <w:rFonts w:ascii="Arial" w:hAnsi="Arial"/>
                <w:sz w:val="22"/>
              </w:rPr>
              <w:t>0.1556</w:t>
            </w:r>
          </w:p>
        </w:tc>
        <w:tc>
          <w:tcPr>
            <w:tcW w:type="dxa" w:w="2436"/>
          </w:tcPr>
          <w:p>
            <w:pPr>
              <w:spacing w:after="60" w:before="0" w:line="240" w:lineRule="auto"/>
            </w:pPr>
            <w:r>
              <w:rPr>
                <w:rFonts w:ascii="Arial" w:hAnsi="Arial"/>
                <w:sz w:val="22"/>
              </w:rPr>
              <w:t>1090 / 6834</w:t>
            </w:r>
          </w:p>
        </w:tc>
      </w:tr>
    </w:tbl>
    <w:p>
      <w:r>
        <w:rPr>
          <w:rFonts w:ascii="Arial" w:hAnsi="Arial"/>
          <w:sz w:val="22"/>
        </w:rPr>
        <w:t>Table 4. Without runtime filtering, the pooled violation rate is 0.1595; the user-macro rate is 0.1556 because attempt counts differ across users. With filtering it is zero. This demonstrates the intended interception mechanism and its reward tradeoff. The labels come from our authored predicates, so the experiment tests rule enforcement rather than clinically observed harm. NoSafety IER uses a changed feasible set and is not treated as the same five-rule outcome.</w:t>
      </w:r>
    </w:p>
    <w:p>
      <w:pPr>
        <w:pStyle w:val="Heading2"/>
      </w:pPr>
      <w:r>
        <w:rPr>
          <w:rFonts w:ascii="Arial" w:hAnsi="Arial"/>
          <w:sz w:val="22"/>
        </w:rPr>
        <w:t>Exploring transfer to another condition</w:t>
      </w:r>
    </w:p>
    <w:p>
      <w:r>
        <w:rPr>
          <w:rFonts w:ascii="Arial" w:hAnsi="Arial"/>
          <w:sz w:val="22"/>
        </w:rPr>
        <w:t>We also asked whether learned task estimates carry over between our synthetic condition groups. In an exploratory seed-42 experiment, we train on 15 ACL/RC personas, then evaluate on five BP personas. We freeze reward updates in the transfer rollout but allow SAPS Beta updates, and compare with fresh online learning on BP.</w:t>
      </w:r>
    </w:p>
    <w:tbl>
      <w:tblPr>
        <w:tblStyle w:val="LightShading-Accent1"/>
        <w:tblW w:type="auto" w:w="0"/>
        <w:tblLook w:firstColumn="1" w:firstRow="1" w:lastColumn="0" w:lastRow="0" w:noHBand="0" w:noVBand="1" w:val="04A0"/>
      </w:tblPr>
      <w:tblGrid>
        <w:gridCol w:w="2436"/>
        <w:gridCol w:w="2436"/>
        <w:gridCol w:w="2436"/>
        <w:gridCol w:w="2436"/>
      </w:tblGrid>
      <w:tr>
        <w:trPr>
          <w:cantSplit/>
        </w:trPr>
        <w:tc>
          <w:tcPr>
            <w:tcW w:type="dxa" w:w="2436"/>
          </w:tcPr>
          <w:p>
            <w:pPr>
              <w:spacing w:after="60" w:before="0" w:line="240" w:lineRule="auto"/>
            </w:pPr>
            <w:r>
              <w:rPr>
                <w:rFonts w:ascii="Arial" w:hAnsi="Arial"/>
                <w:sz w:val="22"/>
              </w:rPr>
              <w:t>Policy</w:t>
            </w:r>
          </w:p>
        </w:tc>
        <w:tc>
          <w:tcPr>
            <w:tcW w:type="dxa" w:w="2436"/>
          </w:tcPr>
          <w:p>
            <w:pPr>
              <w:spacing w:after="60" w:before="0" w:line="240" w:lineRule="auto"/>
            </w:pPr>
            <w:r>
              <w:rPr>
                <w:rFonts w:ascii="Arial" w:hAnsi="Arial"/>
                <w:sz w:val="22"/>
              </w:rPr>
              <w:t>Train</w:t>
            </w:r>
          </w:p>
        </w:tc>
        <w:tc>
          <w:tcPr>
            <w:tcW w:type="dxa" w:w="2436"/>
          </w:tcPr>
          <w:p>
            <w:pPr>
              <w:spacing w:after="60" w:before="0" w:line="240" w:lineRule="auto"/>
            </w:pPr>
            <w:r>
              <w:rPr>
                <w:rFonts w:ascii="Arial" w:hAnsi="Arial"/>
                <w:sz w:val="22"/>
              </w:rPr>
              <w:t>Reward-frozen</w:t>
            </w:r>
          </w:p>
        </w:tc>
        <w:tc>
          <w:tcPr>
            <w:tcW w:type="dxa" w:w="2436"/>
          </w:tcPr>
          <w:p>
            <w:pPr>
              <w:spacing w:after="60" w:before="0" w:line="240" w:lineRule="auto"/>
            </w:pPr>
            <w:r>
              <w:rPr>
                <w:rFonts w:ascii="Arial" w:hAnsi="Arial"/>
                <w:sz w:val="22"/>
              </w:rPr>
              <w:t>Fresh online</w:t>
            </w:r>
          </w:p>
        </w:tc>
      </w:tr>
      <w:tr>
        <w:trPr>
          <w:cantSplit/>
        </w:trPr>
        <w:tc>
          <w:tcPr>
            <w:tcW w:type="dxa" w:w="2436"/>
          </w:tcPr>
          <w:p>
            <w:pPr>
              <w:spacing w:after="60" w:before="0" w:line="240" w:lineRule="auto"/>
            </w:pPr>
            <w:r>
              <w:rPr>
                <w:rFonts w:ascii="Arial" w:hAnsi="Arial"/>
                <w:sz w:val="22"/>
              </w:rPr>
              <w:t>SAPS</w:t>
            </w:r>
          </w:p>
        </w:tc>
        <w:tc>
          <w:tcPr>
            <w:tcW w:type="dxa" w:w="2436"/>
          </w:tcPr>
          <w:p>
            <w:pPr>
              <w:spacing w:after="60" w:before="0" w:line="240" w:lineRule="auto"/>
            </w:pPr>
            <w:r>
              <w:rPr>
                <w:rFonts w:ascii="Arial" w:hAnsi="Arial"/>
                <w:sz w:val="22"/>
              </w:rPr>
              <w:t>27.09</w:t>
            </w:r>
          </w:p>
        </w:tc>
        <w:tc>
          <w:tcPr>
            <w:tcW w:type="dxa" w:w="2436"/>
          </w:tcPr>
          <w:p>
            <w:pPr>
              <w:spacing w:after="60" w:before="0" w:line="240" w:lineRule="auto"/>
            </w:pPr>
            <w:r>
              <w:rPr>
                <w:rFonts w:ascii="Arial" w:hAnsi="Arial"/>
                <w:sz w:val="22"/>
              </w:rPr>
              <w:t>25.88</w:t>
            </w:r>
          </w:p>
        </w:tc>
        <w:tc>
          <w:tcPr>
            <w:tcW w:type="dxa" w:w="2436"/>
          </w:tcPr>
          <w:p>
            <w:pPr>
              <w:spacing w:after="60" w:before="0" w:line="240" w:lineRule="auto"/>
            </w:pPr>
            <w:r>
              <w:rPr>
                <w:rFonts w:ascii="Arial" w:hAnsi="Arial"/>
                <w:sz w:val="22"/>
              </w:rPr>
              <w:t>29.41</w:t>
            </w:r>
          </w:p>
        </w:tc>
      </w:tr>
      <w:tr>
        <w:trPr>
          <w:cantSplit/>
        </w:trPr>
        <w:tc>
          <w:tcPr>
            <w:tcW w:type="dxa" w:w="2436"/>
          </w:tcPr>
          <w:p>
            <w:pPr>
              <w:spacing w:after="60" w:before="0" w:line="240" w:lineRule="auto"/>
            </w:pPr>
            <w:r>
              <w:rPr>
                <w:rFonts w:ascii="Arial" w:hAnsi="Arial"/>
                <w:sz w:val="22"/>
              </w:rPr>
              <w:t>LinUCB</w:t>
            </w:r>
          </w:p>
        </w:tc>
        <w:tc>
          <w:tcPr>
            <w:tcW w:type="dxa" w:w="2436"/>
          </w:tcPr>
          <w:p>
            <w:pPr>
              <w:spacing w:after="60" w:before="0" w:line="240" w:lineRule="auto"/>
            </w:pPr>
            <w:r>
              <w:rPr>
                <w:rFonts w:ascii="Arial" w:hAnsi="Arial"/>
                <w:sz w:val="22"/>
              </w:rPr>
              <w:t>27.27</w:t>
            </w:r>
          </w:p>
        </w:tc>
        <w:tc>
          <w:tcPr>
            <w:tcW w:type="dxa" w:w="2436"/>
          </w:tcPr>
          <w:p>
            <w:pPr>
              <w:spacing w:after="60" w:before="0" w:line="240" w:lineRule="auto"/>
            </w:pPr>
            <w:r>
              <w:rPr>
                <w:rFonts w:ascii="Arial" w:hAnsi="Arial"/>
                <w:sz w:val="22"/>
              </w:rPr>
              <w:t>22.81</w:t>
            </w:r>
          </w:p>
        </w:tc>
        <w:tc>
          <w:tcPr>
            <w:tcW w:type="dxa" w:w="2436"/>
          </w:tcPr>
          <w:p>
            <w:pPr>
              <w:spacing w:after="60" w:before="0" w:line="240" w:lineRule="auto"/>
            </w:pPr>
            <w:r>
              <w:rPr>
                <w:rFonts w:ascii="Arial" w:hAnsi="Arial"/>
                <w:sz w:val="22"/>
              </w:rPr>
              <w:t>26.78</w:t>
            </w:r>
          </w:p>
        </w:tc>
      </w:tr>
    </w:tbl>
    <w:p>
      <w:r>
        <w:rPr>
          <w:rFonts w:ascii="Arial" w:hAnsi="Arial"/>
          <w:sz w:val="22"/>
        </w:rPr>
        <w:t>Table 5. SAPS’s transferred reward estimates give lower reward than fresh online learning, despite lower IER (0.00733 versus 0.06000). This suggests that conservative transferred proposals are not automatically more useful. With only five personas, one seed and adaptive Beta counts, we treat this as a diagnostic of condition dependence rather than a general transfer result.</w:t>
      </w:r>
    </w:p>
    <w:p>
      <w:pPr>
        <w:pStyle w:val="Heading2"/>
      </w:pPr>
      <w:r>
        <w:rPr>
          <w:rFonts w:ascii="Arial" w:hAnsi="Arial"/>
          <w:sz w:val="22"/>
        </w:rPr>
        <w:t>Making the narrative follow the actual interaction</w:t>
      </w:r>
    </w:p>
    <w:p>
      <w:r>
        <w:rPr>
          <w:rFonts w:ascii="Arial" w:hAnsi="Arial"/>
          <w:sz w:val="22"/>
        </w:rPr>
        <w:t>The narrative layer also required alignment work. We normalized the profile condition names and passed one-based days to the authored arcs so that the programme begins in Act 1. We checked recommendation and closing rendering across the 70 main runs: 84,000 user-days produced 168,000 render calls with no recorded fallback. We also checked that skips do not create physical outcomes and that completion/Beta counts follow actual attempts.</w:t>
      </w:r>
    </w:p>
    <w:p>
      <w:r>
        <w:rPr>
          <w:rFonts w:ascii="Arial" w:hAnsi="Arial"/>
          <w:sz w:val="22"/>
        </w:rPr>
        <w:t>Default tone progresses from doctor (days 1–15) to coach (16–40) to companion (41–60), with transition and emotional overrides. These checks tell us the story mechanism runs, not whether the writing improves adherence. We leave that separate user-experience question open rather than reuse earlier LLM-judge scores for the revised experiments.</w:t>
      </w:r>
    </w:p>
    <w:p>
      <w:r>
        <w:rPr>
          <w:rFonts w:ascii="Arial" w:hAnsi="Arial"/>
          <w:sz w:val="22"/>
        </w:rPr>
        <w:br w:type="page"/>
      </w:r>
    </w:p>
    <w:p>
      <w:pPr>
        <w:pStyle w:val="Heading1"/>
      </w:pPr>
      <w:r>
        <w:rPr>
          <w:rFonts w:ascii="Arial" w:hAnsi="Arial"/>
          <w:sz w:val="22"/>
        </w:rPr>
        <w:t>7. Demonstration: interacting with the companion</w:t>
      </w:r>
    </w:p>
    <w:p>
      <w:pPr>
        <w:pStyle w:val="Heading2"/>
      </w:pPr>
      <w:r>
        <w:rPr>
          <w:rFonts w:ascii="Arial" w:hAnsi="Arial"/>
          <w:sz w:val="22"/>
        </w:rPr>
        <w:t>7.1 From recorded journey to live recommendation</w:t>
      </w:r>
    </w:p>
    <w:p>
      <w:r>
        <w:rPr>
          <w:rFonts w:ascii="Arial" w:hAnsi="Arial"/>
          <w:sz w:val="22"/>
        </w:rPr>
        <w:t>The mountain-trail replay made the 60-day idea visible, but its buttons could not change a recorded recommendation. The Gradio agent makes that interaction real: a user checks in, changes a preference, asks why or supplies an outcome, and the tools act on the current session. Run python -m narracare.agent_app --port 7860 after installing both requirements files and configuring a provider key. The terminal alternative is python -m narracare.agent --user U001 --seed 42. Live chat uses gpt-4o-mini by default and needs network access.</w:t>
      </w:r>
    </w:p>
    <w:p>
      <w:r>
        <w:rPr>
          <w:rFonts w:ascii="Arial" w:hAnsi="Arial"/>
          <w:sz w:val="22"/>
        </w:rPr>
        <w:t>In our browser example, the user enters pain 3, fatigue 2, mood 7, unknown ROM and a flexibility preference. Safety reduces 100 candidates to 61, and retrieval narrows them to ten relevant/preferred items. SAPS selects T017, IT Band Foam Rolling, difficulty 2/5, S=3.277. The state panel and tool activity make this path visible alongside the companion message. Unknown ROM remains labelled, including the conservative proxy used for filtering.</w:t>
      </w:r>
    </w:p>
    <w:p>
      <w:r>
        <w:rPr>
          <w:rFonts w:ascii="Arial" w:hAnsi="Arial"/>
          <w:sz w:val="22"/>
        </w:rPr>
        <w:drawing>
          <wp:inline xmlns:a="http://schemas.openxmlformats.org/drawingml/2006/main" xmlns:pic="http://schemas.openxmlformats.org/drawingml/2006/picture">
            <wp:extent cx="6080760" cy="2660332"/>
            <wp:docPr id="1" name="Picture 1"/>
            <wp:cNvGraphicFramePr>
              <a:graphicFrameLocks noChangeAspect="1"/>
            </wp:cNvGraphicFramePr>
            <a:graphic>
              <a:graphicData uri="http://schemas.openxmlformats.org/drawingml/2006/picture">
                <pic:pic>
                  <pic:nvPicPr>
                    <pic:cNvPr id="0" name="report-ui.png"/>
                    <pic:cNvPicPr/>
                  </pic:nvPicPr>
                  <pic:blipFill>
                    <a:blip r:embed="rId10"/>
                    <a:stretch>
                      <a:fillRect/>
                    </a:stretch>
                  </pic:blipFill>
                  <pic:spPr>
                    <a:xfrm>
                      <a:off x="0" y="0"/>
                      <a:ext cx="6080760" cy="2660332"/>
                    </a:xfrm>
                    <a:prstGeom prst="rect"/>
                  </pic:spPr>
                </pic:pic>
              </a:graphicData>
            </a:graphic>
          </wp:inline>
        </w:drawing>
      </w:r>
    </w:p>
    <w:p>
      <w:pPr>
        <w:pStyle w:val="Caption"/>
      </w:pPr>
      <w:r>
        <w:rPr>
          <w:rFonts w:ascii="Arial" w:hAnsi="Arial"/>
          <w:sz w:val="22"/>
        </w:rPr>
        <w:t>Figure 1. The live Gradio demo combines a companion trail with the recommended task, symptoms and tool activity. A recommendation alone does not award progress.</w:t>
      </w:r>
    </w:p>
    <w:p>
      <w:r>
        <w:rPr>
          <w:rFonts w:ascii="Arial" w:hAnsi="Arial"/>
          <w:sz w:val="22"/>
        </w:rPr>
        <w:t>The user can now ask for a different category or report “Completed. After pain 3, fatigue 3, satisfaction 0.8.” That outcome updates the session model and records the day. “I’ll try” requests feedback instructions instead of awarding completion. Skipping creates camp. We use these distinctions to give the trail meaning: progress reflects reported action, while rest remains an acceptable interaction rather than a fictional recovery event.</w:t>
      </w:r>
    </w:p>
    <w:p>
      <w:pPr>
        <w:pStyle w:val="Heading2"/>
      </w:pPr>
      <w:r>
        <w:rPr>
          <w:rFonts w:ascii="Arial" w:hAnsi="Arial"/>
          <w:sz w:val="22"/>
        </w:rPr>
        <w:t>7.2 How to verify the implemented system</w:t>
      </w:r>
    </w:p>
    <w:p>
      <w:r>
        <w:rPr>
          <w:rFonts w:ascii="Arial" w:hAnsi="Arial"/>
          <w:sz w:val="22"/>
        </w:rPr>
        <w:t>For an offline demonstration, run python -m narracare.demo --user U001 --days 60 --policy saps --seed 42. It executes the five benchmark components in temporary storage and prints their actual sequence. --inspect shows definitions; --compare saps,linucb,neuralucb shows short trajectories followed by separately labelled stored benchmark means. No API key is needed for this path.</w:t>
      </w:r>
    </w:p>
    <w:p>
      <w:r>
        <w:rPr>
          <w:rFonts w:ascii="Arial" w:hAnsi="Arial"/>
          <w:sz w:val="22"/>
        </w:rPr>
        <w:t>We checked the live system with eight real-provider smoke cases and a browser sequence covering guided check-in, recommendation, actual feedback, reset and pain pause. Regression tests cover the underlying update rules. The teaching team can reproduce the experiment tables with bash scripts/reproduce_all.sh; README.md provides installation, demonstration and result-navigation instructions. These functional checks complement, but do not replace, evaluation with users.</w:t>
      </w:r>
    </w:p>
    <w:p>
      <w:r>
        <w:rPr>
          <w:rFonts w:ascii="Arial" w:hAnsi="Arial"/>
          <w:sz w:val="22"/>
        </w:rPr>
        <w:br w:type="page"/>
      </w:r>
    </w:p>
    <w:p>
      <w:pPr>
        <w:pStyle w:val="Heading1"/>
      </w:pPr>
      <w:r>
        <w:rPr>
          <w:rFonts w:ascii="Arial" w:hAnsi="Arial"/>
          <w:sz w:val="22"/>
        </w:rPr>
        <w:t>8. Discussion and conclusion</w:t>
      </w:r>
    </w:p>
    <w:p>
      <w:pPr>
        <w:pStyle w:val="Heading2"/>
      </w:pPr>
      <w:r>
        <w:rPr>
          <w:rFonts w:ascii="Arial" w:hAnsi="Arial"/>
          <w:sz w:val="22"/>
        </w:rPr>
        <w:t>8.1 What we learned by building the complete loop</w:t>
      </w:r>
    </w:p>
    <w:p>
      <w:r>
        <w:rPr>
          <w:rFonts w:ascii="Arial" w:hAnsi="Arial"/>
          <w:sz w:val="22"/>
        </w:rPr>
        <w:t>Building NarraCare showed us why rehabilitation recommendation cannot be reduced to a ranking formula. Symptoms have to enter the system in a usable way, preferences must change the actual candidate set, and feedback must distinguish an intended action from an attempted one. The conversational extension and the skip correction addressed these integration problems, while the recommendation experiments exposed where the current learner remains weak.</w:t>
      </w:r>
    </w:p>
    <w:p>
      <w:r>
        <w:rPr>
          <w:rFonts w:ascii="Arial" w:hAnsi="Arial"/>
          <w:sz w:val="22"/>
        </w:rPr>
        <w:t>Separating responsibilities was useful throughout this development. We could test a ranking bonus without changing the hard checks, revise feedback handling without inventing a new simulator, and replace recorded interaction with a live tool layer. The resulting contribution is a task-specific architecture combining recommendation, constraint enforcement, narrative presentation and feedback adaptation, together with experiments that make their different roles visible.</w:t>
      </w:r>
    </w:p>
    <w:p>
      <w:pPr>
        <w:pStyle w:val="Heading2"/>
      </w:pPr>
      <w:r>
        <w:rPr>
          <w:rFonts w:ascii="Arial" w:hAnsi="Arial"/>
          <w:sz w:val="22"/>
        </w:rPr>
        <w:t>8.2 Practical value of the companion demo</w:t>
      </w:r>
    </w:p>
    <w:p>
      <w:r>
        <w:rPr>
          <w:rFonts w:ascii="Arial" w:hAnsi="Arial"/>
          <w:sz w:val="22"/>
        </w:rPr>
        <w:t>The demo gives a concrete way to discuss an otherwise abstract recommender. A user can see what was selected, why options were removed and how a preference revision changes retrieval. A developer or domain reviewer can follow the same interaction through the state panel. This could help evaluate the interaction design before any clinical deployment, using approved content in a future version.</w:t>
      </w:r>
    </w:p>
    <w:p>
      <w:r>
        <w:rPr>
          <w:rFonts w:ascii="Arial" w:hAnsi="Arial"/>
          <w:sz w:val="22"/>
        </w:rPr>
        <w:t>We designed the trail to make small actions feel like progress and to give rest a place in the experience. Changing from guidance toward companionship is intended to support autonomy instead of maintaining a demanding coach persona throughout rehabilitation. That is an application-design contribution and a testable user-experience hypothesis; the present reward simulator does not measure companionship, fatigue reduction or adherence gains.</w:t>
      </w:r>
    </w:p>
    <w:p>
      <w:pPr>
        <w:pStyle w:val="Heading2"/>
      </w:pPr>
      <w:r>
        <w:rPr>
          <w:rFonts w:ascii="Arial" w:hAnsi="Arial"/>
          <w:sz w:val="22"/>
        </w:rPr>
        <w:t>8.3 Remaining limitations and next steps</w:t>
      </w:r>
    </w:p>
    <w:p>
      <w:r>
        <w:rPr>
          <w:rFonts w:ascii="Arial" w:hAnsi="Arial"/>
          <w:sz w:val="22"/>
        </w:rPr>
        <w:t>The first priority for real-world relevance is the content and its validation. Our synthetic tasks, dosage annotations and rule thresholds have no clinician sign-off or calibrated adverse-event labels. Zero SVR means the implemented predicates were satisfied in these runs. Before using the system with patients, exercises and contraindications would need clinical review, approved profile input and monitored evaluation.</w:t>
      </w:r>
    </w:p>
    <w:p>
      <w:r>
        <w:rPr>
          <w:rFonts w:ascii="Arial" w:hAnsi="Arial"/>
          <w:sz w:val="22"/>
        </w:rPr>
        <w:t>For recommendation research, filtered Random remains a strong result we need to explain rather than dismiss. More informative next steps are a controlled coverage intervention, better task/preference representations and an independently specified utility setting. The Beta signal currently pools users by task and does not decay. We should test changes on new validation conditions rather than tune against the final seeds until SAPS wins.</w:t>
      </w:r>
    </w:p>
    <w:p>
      <w:r>
        <w:rPr>
          <w:rFonts w:ascii="Arial" w:hAnsi="Arial"/>
          <w:sz w:val="22"/>
        </w:rPr>
        <w:t>The benchmark and live agent also answer different questions. The benchmark uses generated behavior and does not apply the live agent’s extra body-part/preference retrieval restriction, so it can recommend cross-body tasks. Repeated seeds assess variability within the same simulator, not clinical generalization. The live agent has guided self-report but no medical-record import, and unknown ROM handling still needs domain review.</w:t>
      </w:r>
    </w:p>
    <w:p>
      <w:r>
        <w:rPr>
          <w:rFonts w:ascii="Arial" w:hAnsi="Arial"/>
          <w:sz w:val="22"/>
        </w:rPr>
        <w:t>Finally, LLM extraction and keyword screening remain fallible, and engineering smoke cases do not establish conversational effectiveness. A future user study should assess whether people understand the recommendations, can comfortably report outcomes and experience the companion as supportive. This would connect our application design to the practical motivation more directly than additional simulated reward alone.</w:t>
      </w:r>
    </w:p>
    <w:p>
      <w:pPr>
        <w:pStyle w:val="Heading2"/>
      </w:pPr>
      <w:r>
        <w:rPr>
          <w:rFonts w:ascii="Arial" w:hAnsi="Arial"/>
          <w:sz w:val="22"/>
        </w:rPr>
        <w:t>8.4 Conclusion</w:t>
      </w:r>
    </w:p>
    <w:p>
      <w:r>
        <w:rPr>
          <w:rFonts w:ascii="Arial" w:hAnsi="Arial"/>
          <w:sz w:val="22"/>
        </w:rPr>
        <w:t>We built NarraCare from a five-component sequential benchmark into a conversational recommender with a companion trail. The experiments clarified the effects of list size and runtime filtering, while showing no established gain from the present sampled bonus. The final system demonstrates how task selection, constraints and user feedback can work together; improving the ranking and validating the rehabilitation experience are the next steps.</w:t>
      </w:r>
    </w:p>
    <w:p>
      <w:r>
        <w:rPr>
          <w:rFonts w:ascii="Arial" w:hAnsi="Arial"/>
          <w:sz w:val="22"/>
        </w:rPr>
        <w:br w:type="page"/>
      </w:r>
    </w:p>
    <w:p>
      <w:pPr>
        <w:pStyle w:val="Heading1"/>
      </w:pPr>
      <w:r>
        <w:rPr>
          <w:rFonts w:ascii="Arial" w:hAnsi="Arial"/>
          <w:sz w:val="22"/>
        </w:rPr>
        <w:t>References</w:t>
      </w:r>
    </w:p>
    <w:p>
      <w:r>
        <w:rPr>
          <w:rFonts w:ascii="Arial" w:hAnsi="Arial"/>
          <w:sz w:val="22"/>
        </w:rPr>
        <w:t>[1] Jack, K., McLean, S. M., Moffett, J. K., &amp; Gardiner, E. (2010). Barriers to treatment adherence in physiotherapy outpatient clinics: A systematic review. Manual Therapy, 15(3), 220–228.</w:t>
      </w:r>
    </w:p>
    <w:p>
      <w:r>
        <w:rPr>
          <w:rFonts w:ascii="Arial" w:hAnsi="Arial"/>
          <w:sz w:val="22"/>
        </w:rPr>
        <w:t>[2] Argent, R., Daly, A., &amp; Caulfield, B. (2018). Patient involvement with home-based exercise programs: Can connected health interventions influence adherence? JMIR mHealth and uHealth, 6(3), e47.</w:t>
      </w:r>
    </w:p>
    <w:p>
      <w:r>
        <w:rPr>
          <w:rFonts w:ascii="Arial" w:hAnsi="Arial"/>
          <w:sz w:val="22"/>
        </w:rPr>
        <w:t>[3] Li, L., Chu, W., Langford, J., &amp; Schapire, R. E. (2010). A contextual-bandit approach to personalized news article recommendation. Proceedings of WWW, 661–670.</w:t>
      </w:r>
    </w:p>
    <w:p>
      <w:r>
        <w:rPr>
          <w:rFonts w:ascii="Arial" w:hAnsi="Arial"/>
          <w:sz w:val="22"/>
        </w:rPr>
        <w:t>[4] Agrawal, S., &amp; Goyal, N. (2013). Thompson sampling for contextual bandits with linear payoffs. Proceedings of ICML, PMLR 28(3), 127–135.</w:t>
      </w:r>
    </w:p>
    <w:p>
      <w:r>
        <w:rPr>
          <w:rFonts w:ascii="Arial" w:hAnsi="Arial"/>
          <w:sz w:val="22"/>
        </w:rPr>
        <w:t>[5] Amani, S., Alizadeh, M., &amp; Thrampoulidis, C. (2019). Linear stochastic bandits under safety constraints. Advances in Neural Information Processing Systems, 32.</w:t>
      </w:r>
    </w:p>
    <w:p>
      <w:r>
        <w:rPr>
          <w:rFonts w:ascii="Arial" w:hAnsi="Arial"/>
          <w:sz w:val="22"/>
        </w:rPr>
        <w:t>[6] Pacchiano, A., Ghavamzadeh, M., Bartlett, P., &amp; Jiang, H. (2021). Stochastic bandits with linear constraints. Proceedings of AISTATS, PMLR 130, 2827–2835.</w:t>
      </w:r>
    </w:p>
    <w:p>
      <w:r>
        <w:rPr>
          <w:rFonts w:ascii="Arial" w:hAnsi="Arial"/>
          <w:sz w:val="22"/>
        </w:rPr>
        <w:t>[7] Zhou, D., Li, L., &amp; Gu, Q. (2020). Neural contextual bandits with UCB-based exploration. Proceedings of ICML, PMLR 119, 11492–11502.</w:t>
      </w:r>
    </w:p>
    <w:p>
      <w:r>
        <w:rPr>
          <w:rFonts w:ascii="Arial" w:hAnsi="Arial"/>
          <w:sz w:val="22"/>
        </w:rPr>
        <w:t>[8] Riedl, M. O., &amp; Bulitko, V. (2013). Interactive narrative: An intelligent systems approach. AI Magazine, 34(1), 67–77.</w:t>
      </w:r>
    </w:p>
    <w:p>
      <w:r>
        <w:rPr>
          <w:rFonts w:ascii="Arial" w:hAnsi="Arial"/>
          <w:sz w:val="22"/>
        </w:rPr>
        <w:t>[9] Deci, E. L., &amp; Ryan, R. M. (2000). The “what” and “why” of goal pursuits: Human needs and the self-determination of behavior. Psychological Inquiry, 11(4), 227–268.</w:t>
      </w:r>
    </w:p>
    <w:p>
      <w:r>
        <w:rPr>
          <w:rFonts w:ascii="Arial" w:hAnsi="Arial"/>
          <w:sz w:val="22"/>
        </w:rPr>
        <w:t>[10] van Grinsven, S., van Cingel, R. E. H., Holla, C. J. M., &amp; van Loon, C. J. M. (2010). Evidence-based rehabilitation following anterior cruciate ligament reconstruction. Knee Surgery, Sports Traumatology, Arthroscopy, 18(8), 1128–1144.</w:t>
      </w:r>
    </w:p>
    <w:p>
      <w:r>
        <w:rPr>
          <w:rFonts w:ascii="Arial" w:hAnsi="Arial"/>
          <w:sz w:val="22"/>
        </w:rPr>
        <w:t>[11] Kuhn, J. E. (2009). Exercise in the treatment of rotator cuff impingement: A systematic review and a synthesized evidence-based rehabilitation protocol. Journal of Shoulder and Elbow Surgery, 18(1), 138–160.</w:t>
      </w:r>
    </w:p>
    <w:p>
      <w:r>
        <w:rPr>
          <w:rFonts w:ascii="Arial" w:hAnsi="Arial"/>
          <w:sz w:val="22"/>
        </w:rPr>
        <w:t>Implementation, experiment settings and complete functional checks are available through the repository README and evaluation/README.md.</w:t>
      </w:r>
    </w:p>
    <w:p>
      <w:r>
        <w:rPr>
          <w:rFonts w:ascii="Arial" w:hAnsi="Arial"/>
          <w:sz w:val="22"/>
        </w:rPr>
        <w:t>Repository: https://github.com/ZHIQIAN-fine/NarraCare</w:t>
      </w:r>
    </w:p>
    <w:sectPr w:rsidR="00FC693F" w:rsidRPr="0006063C" w:rsidSect="00034616">
      <w:footerReference w:type="default" r:id="rId9"/>
      <w:pgSz w:w="11906" w:h="16838"/>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NarraCare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before="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sz w:val="22"/>
    </w:rPr>
  </w:style>
  <w:style w:type="character" w:customStyle="1" w:styleId="HeaderChar">
    <w:name w:val="Header Char"/>
    <w:basedOn w:val="DefaultParagraphFont"/>
    <w:link w:val="Header"/>
    <w:uiPriority w:val="99"/>
    <w:rsid w:val="00E618BF"/>
    <w:rPr>
      <w:rFonts w:ascii="Arial" w:hAnsi="Arial" w:eastAsia="Arial"/>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sz w:val="22"/>
    </w:rPr>
  </w:style>
  <w:style w:type="character" w:customStyle="1" w:styleId="FooterChar">
    <w:name w:val="Footer Char"/>
    <w:basedOn w:val="DefaultParagraphFont"/>
    <w:link w:val="Footer"/>
    <w:uiPriority w:val="99"/>
    <w:rsid w:val="00E618BF"/>
    <w:rPr>
      <w:rFonts w:ascii="Arial" w:hAnsi="Arial" w:eastAsia="Arial"/>
      <w:sz w:val="22"/>
    </w:rPr>
  </w:style>
  <w:style w:type="paragraph" w:styleId="Heading1">
    <w:name w:val="heading 1"/>
    <w:basedOn w:val="Normal"/>
    <w:next w:val="Normal"/>
    <w:link w:val="Heading1Char"/>
    <w:uiPriority w:val="9"/>
    <w:qFormat/>
    <w:rsid w:val="00FC693F"/>
    <w:pPr>
      <w:keepNext/>
      <w:keepLines/>
      <w:spacing w:before="0" w:after="100" w:line="240" w:lineRule="auto"/>
      <w:outlineLvl w:val="0"/>
    </w:pPr>
    <w:rPr>
      <w:rFonts w:asciiTheme="majorHAnsi" w:eastAsiaTheme="majorEastAsia" w:hAnsiTheme="majorHAnsi" w:cstheme="majorBidi" w:ascii="Arial" w:hAnsi="Arial" w:eastAsia="Arial"/>
      <w:b/>
      <w:bCs/>
      <w:color w:val="173F45"/>
      <w:sz w:val="22"/>
      <w:szCs w:val="28"/>
    </w:rPr>
  </w:style>
  <w:style w:type="paragraph" w:styleId="Heading2">
    <w:name w:val="heading 2"/>
    <w:basedOn w:val="Normal"/>
    <w:next w:val="Normal"/>
    <w:link w:val="Heading2Char"/>
    <w:uiPriority w:val="9"/>
    <w:unhideWhenUsed/>
    <w:qFormat/>
    <w:rsid w:val="00FC693F"/>
    <w:pPr>
      <w:keepNext/>
      <w:keepLines/>
      <w:spacing w:before="0" w:after="100" w:line="240" w:lineRule="auto"/>
      <w:outlineLvl w:val="1"/>
    </w:pPr>
    <w:rPr>
      <w:rFonts w:asciiTheme="majorHAnsi" w:eastAsiaTheme="majorEastAsia" w:hAnsiTheme="majorHAnsi" w:cstheme="majorBidi" w:ascii="Arial" w:hAnsi="Arial" w:eastAsia="Arial"/>
      <w:b/>
      <w:bCs/>
      <w:color w:val="173F4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i/>
      <w:iCs/>
      <w:color w:val="404040" w:themeColor="text1" w:themeTint="BF"/>
      <w:sz w:val="22"/>
      <w:szCs w:val="20"/>
    </w:rPr>
  </w:style>
  <w:style w:type="character" w:default="1" w:styleId="DefaultParagraphFont">
    <w:name w:val="Default Paragraph Font"/>
    <w:uiPriority w:val="1"/>
    <w:semiHidden/>
    <w:unhideWhenUsed/>
    <w:rPr>
      <w:rFonts w:ascii="Arial" w:hAnsi="Arial" w:eastAsia="Arial"/>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eastAsia="Arial"/>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eastAsia="Arial"/>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eastAsia="Arial"/>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73F45"/>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eastAsia="Arial"/>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spacing w:line="240" w:lineRule="auto" w:after="100" w:before="0"/>
    </w:pPr>
    <w:rPr>
      <w:rFonts w:asciiTheme="majorHAnsi" w:eastAsiaTheme="majorEastAsia" w:hAnsiTheme="majorHAnsi" w:cstheme="majorBidi" w:ascii="Arial" w:hAnsi="Arial" w:eastAsia="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eastAsia="Arial"/>
      <w:i/>
      <w:iCs/>
      <w:color w:val="4F81BD" w:themeColor="accent1"/>
      <w:spacing w:val="15"/>
      <w:sz w:val="22"/>
      <w:szCs w:val="24"/>
    </w:rPr>
  </w:style>
  <w:style w:type="paragraph" w:styleId="ListParagraph">
    <w:name w:val="List Paragraph"/>
    <w:basedOn w:val="Normal"/>
    <w:uiPriority w:val="34"/>
    <w:qFormat/>
    <w:rsid w:val="00FC693F"/>
    <w:pPr>
      <w:ind w:left="720"/>
      <w:contextualSpacing/>
    </w:pPr>
    <w:rPr>
      <w:rFonts w:ascii="Arial" w:hAnsi="Arial" w:eastAsia="Arial"/>
      <w:sz w:val="22"/>
    </w:rPr>
  </w:style>
  <w:style w:type="paragraph" w:styleId="BodyText">
    <w:name w:val="Body Text"/>
    <w:basedOn w:val="Normal"/>
    <w:link w:val="BodyTextChar"/>
    <w:uiPriority w:val="99"/>
    <w:unhideWhenUsed/>
    <w:rsid w:val="00AA1D8D"/>
    <w:pPr>
      <w:spacing w:after="120"/>
    </w:pPr>
    <w:rPr>
      <w:rFonts w:ascii="Arial" w:hAnsi="Arial" w:eastAsia="Arial"/>
      <w:sz w:val="22"/>
    </w:rPr>
  </w:style>
  <w:style w:type="character" w:customStyle="1" w:styleId="BodyTextChar">
    <w:name w:val="Body Text Char"/>
    <w:basedOn w:val="DefaultParagraphFont"/>
    <w:link w:val="BodyText"/>
    <w:uiPriority w:val="99"/>
    <w:rsid w:val="00AA1D8D"/>
    <w:rPr>
      <w:rFonts w:ascii="Arial" w:hAnsi="Arial" w:eastAsia="Arial"/>
      <w:sz w:val="22"/>
    </w:rPr>
  </w:style>
  <w:style w:type="paragraph" w:styleId="BodyText2">
    <w:name w:val="Body Text 2"/>
    <w:basedOn w:val="Normal"/>
    <w:link w:val="BodyText2Char"/>
    <w:uiPriority w:val="99"/>
    <w:unhideWhenUsed/>
    <w:rsid w:val="00AA1D8D"/>
    <w:pPr>
      <w:spacing w:after="120" w:line="480" w:lineRule="auto"/>
    </w:pPr>
    <w:rPr>
      <w:rFonts w:ascii="Arial" w:hAnsi="Arial" w:eastAsia="Arial"/>
      <w:sz w:val="22"/>
    </w:rPr>
  </w:style>
  <w:style w:type="character" w:customStyle="1" w:styleId="BodyText2Char">
    <w:name w:val="Body Text 2 Char"/>
    <w:basedOn w:val="DefaultParagraphFont"/>
    <w:link w:val="BodyText2"/>
    <w:uiPriority w:val="99"/>
    <w:rsid w:val="00AA1D8D"/>
    <w:rPr>
      <w:rFonts w:ascii="Arial" w:hAnsi="Arial" w:eastAsia="Arial"/>
      <w:sz w:val="22"/>
    </w:rPr>
  </w:style>
  <w:style w:type="paragraph" w:styleId="BodyText3">
    <w:name w:val="Body Text 3"/>
    <w:basedOn w:val="Normal"/>
    <w:link w:val="BodyText3Char"/>
    <w:uiPriority w:val="99"/>
    <w:unhideWhenUsed/>
    <w:rsid w:val="00AA1D8D"/>
    <w:pPr>
      <w:spacing w:after="120"/>
    </w:pPr>
    <w:rPr>
      <w:rFonts w:ascii="Arial" w:hAnsi="Arial" w:eastAsia="Arial"/>
      <w:sz w:val="22"/>
      <w:szCs w:val="16"/>
    </w:rPr>
  </w:style>
  <w:style w:type="character" w:customStyle="1" w:styleId="BodyText3Char">
    <w:name w:val="Body Text 3 Char"/>
    <w:basedOn w:val="DefaultParagraphFont"/>
    <w:link w:val="BodyText3"/>
    <w:uiPriority w:val="99"/>
    <w:rsid w:val="00AA1D8D"/>
    <w:rPr>
      <w:rFonts w:ascii="Arial" w:hAnsi="Arial" w:eastAsia="Arial"/>
      <w:sz w:val="22"/>
      <w:szCs w:val="16"/>
    </w:rPr>
  </w:style>
  <w:style w:type="paragraph" w:styleId="List">
    <w:name w:val="List"/>
    <w:basedOn w:val="Normal"/>
    <w:uiPriority w:val="99"/>
    <w:unhideWhenUsed/>
    <w:rsid w:val="00AA1D8D"/>
    <w:pPr>
      <w:ind w:left="360" w:hanging="360"/>
      <w:contextualSpacing/>
    </w:pPr>
    <w:rPr>
      <w:rFonts w:ascii="Arial" w:hAnsi="Arial" w:eastAsia="Arial"/>
      <w:sz w:val="22"/>
    </w:rPr>
  </w:style>
  <w:style w:type="paragraph" w:styleId="List2">
    <w:name w:val="List 2"/>
    <w:basedOn w:val="Normal"/>
    <w:uiPriority w:val="99"/>
    <w:unhideWhenUsed/>
    <w:rsid w:val="00326F90"/>
    <w:pPr>
      <w:ind w:left="720" w:hanging="360"/>
      <w:contextualSpacing/>
    </w:pPr>
    <w:rPr>
      <w:rFonts w:ascii="Arial" w:hAnsi="Arial" w:eastAsia="Arial"/>
      <w:sz w:val="22"/>
    </w:rPr>
  </w:style>
  <w:style w:type="paragraph" w:styleId="List3">
    <w:name w:val="List 3"/>
    <w:basedOn w:val="Normal"/>
    <w:uiPriority w:val="99"/>
    <w:unhideWhenUsed/>
    <w:rsid w:val="00326F90"/>
    <w:pPr>
      <w:ind w:left="1080" w:hanging="360"/>
      <w:contextualSpacing/>
    </w:pPr>
    <w:rPr>
      <w:rFonts w:ascii="Arial" w:hAnsi="Arial" w:eastAsia="Arial"/>
      <w:sz w:val="22"/>
    </w:rPr>
  </w:style>
  <w:style w:type="paragraph" w:styleId="ListBullet">
    <w:name w:val="List Bullet"/>
    <w:basedOn w:val="Normal"/>
    <w:uiPriority w:val="99"/>
    <w:unhideWhenUsed/>
    <w:rsid w:val="00326F90"/>
    <w:pPr>
      <w:numPr>
        <w:numId w:val="1"/>
      </w:numPr>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rPr>
      <w:rFonts w:ascii="Arial" w:hAnsi="Arial" w:eastAsia="Arial"/>
      <w:sz w:val="22"/>
    </w:rPr>
  </w:style>
  <w:style w:type="paragraph" w:styleId="ListBullet3">
    <w:name w:val="List Bullet 3"/>
    <w:basedOn w:val="Normal"/>
    <w:uiPriority w:val="99"/>
    <w:unhideWhenUsed/>
    <w:rsid w:val="00326F90"/>
    <w:pPr>
      <w:numPr>
        <w:numId w:val="3"/>
      </w:numPr>
      <w:contextualSpacing/>
    </w:pPr>
    <w:rPr>
      <w:rFonts w:ascii="Arial" w:hAnsi="Arial" w:eastAsia="Arial"/>
      <w:sz w:val="22"/>
    </w:rPr>
  </w:style>
  <w:style w:type="paragraph" w:styleId="ListNumber">
    <w:name w:val="List Number"/>
    <w:basedOn w:val="Normal"/>
    <w:uiPriority w:val="99"/>
    <w:unhideWhenUsed/>
    <w:rsid w:val="00326F90"/>
    <w:pPr>
      <w:numPr>
        <w:numId w:val="5"/>
      </w:numPr>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rPr>
      <w:rFonts w:ascii="Arial" w:hAnsi="Arial" w:eastAsia="Arial"/>
      <w:sz w:val="22"/>
    </w:rPr>
  </w:style>
  <w:style w:type="paragraph" w:styleId="ListNumber3">
    <w:name w:val="List Number 3"/>
    <w:basedOn w:val="Normal"/>
    <w:uiPriority w:val="99"/>
    <w:unhideWhenUsed/>
    <w:rsid w:val="0029639D"/>
    <w:pPr>
      <w:numPr>
        <w:numId w:val="7"/>
      </w:numPr>
      <w:contextualSpacing/>
    </w:pPr>
    <w:rPr>
      <w:rFonts w:ascii="Arial" w:hAnsi="Arial" w:eastAsia="Arial"/>
      <w:sz w:val="22"/>
    </w:rPr>
  </w:style>
  <w:style w:type="paragraph" w:styleId="ListContinue">
    <w:name w:val="List Continue"/>
    <w:basedOn w:val="Normal"/>
    <w:uiPriority w:val="99"/>
    <w:unhideWhenUsed/>
    <w:rsid w:val="0029639D"/>
    <w:pPr>
      <w:spacing w:after="120"/>
      <w:ind w:left="360"/>
      <w:contextualSpacing/>
    </w:pPr>
    <w:rPr>
      <w:rFonts w:ascii="Arial" w:hAnsi="Arial" w:eastAsia="Arial"/>
      <w:sz w:val="22"/>
    </w:rPr>
  </w:style>
  <w:style w:type="paragraph" w:styleId="ListContinue2">
    <w:name w:val="List Continue 2"/>
    <w:basedOn w:val="Normal"/>
    <w:uiPriority w:val="99"/>
    <w:unhideWhenUsed/>
    <w:rsid w:val="0029639D"/>
    <w:pPr>
      <w:spacing w:after="120"/>
      <w:ind w:left="720"/>
      <w:contextualSpacing/>
    </w:pPr>
    <w:rPr>
      <w:rFonts w:ascii="Arial" w:hAnsi="Arial" w:eastAsia="Arial"/>
      <w:sz w:val="22"/>
    </w:rPr>
  </w:style>
  <w:style w:type="paragraph" w:styleId="ListContinue3">
    <w:name w:val="List Continue 3"/>
    <w:basedOn w:val="Normal"/>
    <w:uiPriority w:val="99"/>
    <w:unhideWhenUsed/>
    <w:rsid w:val="0029639D"/>
    <w:pPr>
      <w:spacing w:after="120"/>
      <w:ind w:left="1080"/>
      <w:contextualSpacing/>
    </w:pPr>
    <w:rPr>
      <w:rFonts w:ascii="Arial" w:hAnsi="Arial" w:eastAsia="Arial"/>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sz w:val="22"/>
      <w:szCs w:val="20"/>
    </w:rPr>
  </w:style>
  <w:style w:type="character" w:customStyle="1" w:styleId="MacroTextChar">
    <w:name w:val="Macro Text Char"/>
    <w:basedOn w:val="DefaultParagraphFont"/>
    <w:link w:val="MacroText"/>
    <w:uiPriority w:val="99"/>
    <w:rsid w:val="0029639D"/>
    <w:rPr>
      <w:rFonts w:ascii="Arial" w:hAnsi="Arial" w:eastAsia="Arial"/>
      <w:sz w:val="22"/>
      <w:szCs w:val="20"/>
    </w:rPr>
  </w:style>
  <w:style w:type="paragraph" w:styleId="Quote">
    <w:name w:val="Quote"/>
    <w:basedOn w:val="Normal"/>
    <w:next w:val="Normal"/>
    <w:link w:val="QuoteChar"/>
    <w:uiPriority w:val="29"/>
    <w:qFormat/>
    <w:rsid w:val="00FC693F"/>
    <w:rPr>
      <w:rFonts w:ascii="Arial" w:hAnsi="Arial" w:eastAsia="Arial"/>
      <w:i/>
      <w:iCs/>
      <w:color w:val="000000" w:themeColor="text1"/>
      <w:sz w:val="22"/>
    </w:rPr>
  </w:style>
  <w:style w:type="character" w:customStyle="1" w:styleId="QuoteChar">
    <w:name w:val="Quote Char"/>
    <w:basedOn w:val="DefaultParagraphFont"/>
    <w:link w:val="Quote"/>
    <w:uiPriority w:val="29"/>
    <w:rsid w:val="00FC693F"/>
    <w:rPr>
      <w:rFonts w:ascii="Arial" w:hAnsi="Arial" w:eastAsia="Arial"/>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eastAsia="Arial"/>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eastAsia="Arial"/>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eastAsia="Arial"/>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eastAsia="Arial"/>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eastAsia="Arial"/>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eastAsia="Arial"/>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after="100" w:before="0"/>
    </w:pPr>
    <w:rPr>
      <w:rFonts w:ascii="Arial" w:hAnsi="Arial" w:eastAsia="Arial"/>
      <w:b/>
      <w:bCs/>
      <w:color w:val="4F81BD" w:themeColor="accent1"/>
      <w:sz w:val="22"/>
      <w:szCs w:val="18"/>
    </w:rPr>
  </w:style>
  <w:style w:type="character" w:styleId="Strong">
    <w:name w:val="Strong"/>
    <w:basedOn w:val="DefaultParagraphFont"/>
    <w:uiPriority w:val="22"/>
    <w:qFormat/>
    <w:rsid w:val="00FC693F"/>
    <w:rPr>
      <w:rFonts w:ascii="Arial" w:hAnsi="Arial" w:eastAsia="Arial"/>
      <w:b/>
      <w:bCs/>
      <w:sz w:val="22"/>
    </w:rPr>
  </w:style>
  <w:style w:type="character" w:styleId="Emphasis">
    <w:name w:val="Emphasis"/>
    <w:basedOn w:val="DefaultParagraphFont"/>
    <w:uiPriority w:val="20"/>
    <w:qFormat/>
    <w:rsid w:val="00FC693F"/>
    <w:rPr>
      <w:rFonts w:ascii="Arial" w:hAnsi="Arial" w:eastAsia="Arial"/>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b/>
      <w:bCs/>
      <w:i/>
      <w:iCs/>
      <w:color w:val="4F81BD" w:themeColor="accent1"/>
      <w:sz w:val="22"/>
    </w:rPr>
  </w:style>
  <w:style w:type="character" w:customStyle="1" w:styleId="IntenseQuoteChar">
    <w:name w:val="Intense Quote Char"/>
    <w:basedOn w:val="DefaultParagraphFont"/>
    <w:link w:val="IntenseQuote"/>
    <w:uiPriority w:val="30"/>
    <w:rsid w:val="00FC693F"/>
    <w:rPr>
      <w:rFonts w:ascii="Arial" w:hAnsi="Arial" w:eastAsia="Arial"/>
      <w:b/>
      <w:bCs/>
      <w:i/>
      <w:iCs/>
      <w:color w:val="4F81BD" w:themeColor="accent1"/>
      <w:sz w:val="22"/>
    </w:rPr>
  </w:style>
  <w:style w:type="character" w:styleId="SubtleEmphasis">
    <w:name w:val="Subtle Emphasis"/>
    <w:basedOn w:val="DefaultParagraphFont"/>
    <w:uiPriority w:val="19"/>
    <w:qFormat/>
    <w:rsid w:val="00FC693F"/>
    <w:rPr>
      <w:rFonts w:ascii="Arial" w:hAnsi="Arial" w:eastAsia="Arial"/>
      <w:i/>
      <w:iCs/>
      <w:color w:val="808080" w:themeColor="text1" w:themeTint="7F"/>
      <w:sz w:val="22"/>
    </w:rPr>
  </w:style>
  <w:style w:type="character" w:styleId="IntenseEmphasis">
    <w:name w:val="Intense Emphasis"/>
    <w:basedOn w:val="DefaultParagraphFont"/>
    <w:uiPriority w:val="21"/>
    <w:qFormat/>
    <w:rsid w:val="00FC693F"/>
    <w:rPr>
      <w:rFonts w:ascii="Arial" w:hAnsi="Arial" w:eastAsia="Arial"/>
      <w:b/>
      <w:bCs/>
      <w:i/>
      <w:iCs/>
      <w:color w:val="4F81BD" w:themeColor="accent1"/>
      <w:sz w:val="22"/>
    </w:rPr>
  </w:style>
  <w:style w:type="character" w:styleId="SubtleReference">
    <w:name w:val="Subtle Reference"/>
    <w:basedOn w:val="DefaultParagraphFont"/>
    <w:uiPriority w:val="31"/>
    <w:qFormat/>
    <w:rsid w:val="00FC693F"/>
    <w:rPr>
      <w:rFonts w:ascii="Arial" w:hAnsi="Arial" w:eastAsia="Arial"/>
      <w:smallCaps/>
      <w:color w:val="C0504D" w:themeColor="accent2"/>
      <w:sz w:val="22"/>
      <w:u w:val="single"/>
    </w:rPr>
  </w:style>
  <w:style w:type="character" w:styleId="IntenseReference">
    <w:name w:val="Intense Reference"/>
    <w:basedOn w:val="DefaultParagraphFont"/>
    <w:uiPriority w:val="32"/>
    <w:qFormat/>
    <w:rsid w:val="00FC693F"/>
    <w:rPr>
      <w:rFonts w:ascii="Arial" w:hAnsi="Arial" w:eastAsia="Arial"/>
      <w:b/>
      <w:bCs/>
      <w:smallCaps/>
      <w:color w:val="C0504D" w:themeColor="accent2"/>
      <w:spacing w:val="5"/>
      <w:sz w:val="22"/>
      <w:u w:val="single"/>
    </w:rPr>
  </w:style>
  <w:style w:type="character" w:styleId="BookTitle">
    <w:name w:val="Book Title"/>
    <w:basedOn w:val="DefaultParagraphFont"/>
    <w:uiPriority w:val="33"/>
    <w:qFormat/>
    <w:rsid w:val="00FC693F"/>
    <w:rPr>
      <w:rFonts w:ascii="Arial" w:hAnsi="Arial" w:eastAsia="Arial"/>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eastAsia="Arial"/>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NarraCare — A Conversational Rehabilitation Recommender with a Narrative Companion</dc:title>
  <dc:subject>CA6124 healthcare recommender system</dc:subject>
  <dc:creator>NarraCare project team</dc:creator>
  <cp:keywords>SAPS, contextual bandit, tool-using agent, synthetic evaluation</cp:keywords>
  <dc:description>generated by python-docx</dc:description>
  <cp:lastModifiedBy/>
  <cp:revision>1</cp:revision>
  <dcterms:created xsi:type="dcterms:W3CDTF">2013-12-23T23:15:00Z</dcterms:created>
  <dcterms:modified xsi:type="dcterms:W3CDTF">2013-12-23T23:15:00Z</dcterms:modified>
  <cp:category/>
</cp:coreProperties>
</file>