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40" w:lineRule="auto"/>
        <w:jc w:val="center"/>
      </w:pPr>
      <w:r>
        <w:rPr>
          <w:rFonts w:ascii="Arial" w:hAnsi="Arial" w:eastAsia="Arial" w:cs="Arial"/>
          <w:b/>
          <w:color w:val="000000"/>
          <w:sz w:val="22"/>
        </w:rPr>
        <w:t>NarraCare Safety Aware Narrative Recommendation for Rehabilitation</w:t>
      </w:r>
    </w:p>
    <w:p>
      <w:pPr>
        <w:widowControl/>
        <w:spacing w:line="240" w:lineRule="auto"/>
        <w:jc w:val="center"/>
      </w:pPr>
      <w:r>
        <w:rPr>
          <w:rFonts w:ascii="Arial" w:hAnsi="Arial" w:eastAsia="Arial" w:cs="Arial"/>
          <w:color w:val="000000"/>
          <w:sz w:val="22"/>
        </w:rPr>
        <w:t>CA6124 Group Project — 26S1</w:t>
      </w:r>
    </w:p>
    <w:p>
      <w:pPr>
        <w:pStyle w:val="Heading1"/>
        <w:widowControl/>
        <w:spacing w:line="240" w:lineRule="auto"/>
      </w:pPr>
      <w:r>
        <w:rPr>
          <w:rFonts w:ascii="Arial" w:hAnsi="Arial" w:eastAsia="Arial" w:cs="Arial"/>
          <w:b/>
          <w:color w:val="000000"/>
          <w:sz w:val="22"/>
        </w:rPr>
        <w:t>1. Introduction</w:t>
      </w:r>
    </w:p>
    <w:p>
      <w:pPr>
        <w:pStyle w:val="Heading2"/>
        <w:widowControl/>
        <w:spacing w:line="240" w:lineRule="auto"/>
      </w:pPr>
      <w:r>
        <w:rPr>
          <w:rFonts w:ascii="Arial" w:hAnsi="Arial" w:eastAsia="Arial" w:cs="Arial"/>
          <w:b/>
          <w:color w:val="000000"/>
          <w:sz w:val="22"/>
        </w:rPr>
        <w:t>1.1 Motivation</w:t>
      </w:r>
    </w:p>
    <w:p>
      <w:pPr>
        <w:widowControl/>
        <w:spacing w:line="240" w:lineRule="auto"/>
      </w:pPr>
      <w:r>
        <w:rPr>
          <w:rFonts w:ascii="Arial" w:hAnsi="Arial"/>
          <w:color w:val="000000"/>
          <w:sz w:val="22"/>
        </w:rPr>
        <w:t>A daily rehabilitation plan must translate a patient's changing symptoms and recovery stage into a suitable exercise and understandable guidance. Adherence barriers in physiotherapy motivate support that is practical and clear [4,7]. NarraCare targets this recommendation workflow: evaluate patient context, restrict unsuitable tasks, propose an exercise, explain it and use feedback in the next recommendation. Its intended users at this stage are researchers and rehabilitation-technology teams reviewing such workflows. We make task restrictions explicit alongside reward learning, and expose infeasible proposals that downstream filters would otherwise conceal. Clinical literature informs the scenario [8,16]; the synthetic prototype lets teams inspect design decisions before considering patient evaluation.</w:t>
      </w:r>
    </w:p>
    <w:p>
      <w:pPr>
        <w:pStyle w:val="Heading2"/>
        <w:widowControl/>
        <w:spacing w:line="240" w:lineRule="auto"/>
      </w:pPr>
      <w:r>
        <w:rPr>
          <w:rFonts w:ascii="Arial" w:hAnsi="Arial" w:eastAsia="Arial" w:cs="Arial"/>
          <w:b/>
          <w:color w:val="000000"/>
          <w:sz w:val="22"/>
        </w:rPr>
        <w:t>1.2 Problem setting</w:t>
      </w:r>
    </w:p>
    <w:p>
      <w:pPr>
        <w:widowControl/>
        <w:spacing w:line="240" w:lineRule="auto"/>
      </w:pPr>
      <w:r>
        <w:rPr>
          <w:rFonts w:ascii="Arial" w:hAnsi="Arial" w:eastAsia="Arial" w:cs="Arial"/>
          <w:color w:val="000000"/>
          <w:sz w:val="22"/>
        </w:rPr>
        <w:t>We formulate a 60-day, context-aware sequential recommendation task. At each interaction the system receives a patient profile, current pain, fatigue, range of motion (ROM), mood and interaction history; it ranks exercises from a catalogue of 100 tasks, applies safety restrictions, renders a recommendation and observes simulated choice and feedback. The objective is cumulative simulator reward subject to the implemented task restrictions. A separate narrative stream communicates guidance and daily closure. Neither improved real-world adherence nor clinical recovery is an evaluated outcome.</w:t>
      </w:r>
    </w:p>
    <w:p>
      <w:pPr>
        <w:pStyle w:val="Heading2"/>
        <w:widowControl/>
        <w:spacing w:line="240" w:lineRule="auto"/>
      </w:pPr>
      <w:r>
        <w:rPr>
          <w:rFonts w:ascii="Arial" w:hAnsi="Arial" w:eastAsia="Arial" w:cs="Arial"/>
          <w:b/>
          <w:color w:val="000000"/>
          <w:sz w:val="22"/>
        </w:rPr>
        <w:t>1.3 Contributions</w:t>
      </w:r>
    </w:p>
    <w:p>
      <w:pPr>
        <w:widowControl/>
        <w:spacing w:line="240" w:lineRule="auto"/>
      </w:pPr>
      <w:r>
        <w:rPr>
          <w:rFonts w:ascii="Arial" w:hAnsi="Arial"/>
          <w:color w:val="000000"/>
          <w:sz w:val="22"/>
        </w:rPr>
        <w:t>Our contribution is a task-specific architecture and evaluation workflow for making rehabilitation recommendations inspectable end to end. First, five components connect patient-state simulation to recommendation, runtime filtering, template-based explanation and reward feedback. Hard task restrictions occupy a separate stage from the Beta safety bonus and soft reward penalties. Second, ungated top-5 IER complements accepted-task SVR, separating proposal feasibility from execution feasibility. Third, source-linked rule definitions, interaction logs, per-rule post-hoc summaries and committed artifacts support repeatable implementation review. These provide a reference implementation that future work can adapt to a specified catalogue and safety policy. The reusable contribution is their rehabilitation-specific composition and evaluation protocol. In the current cohort SAPS records reward 42.02 versus LinUCB 41.94, without a significant paired advantage. The resulting system offers a concrete starting point for reviewing rehabilitation recommendation designs.</w:t>
      </w:r>
    </w:p>
    <w:p>
      <w:pPr>
        <w:widowControl/>
        <w:spacing w:line="240" w:lineRule="auto"/>
      </w:pPr>
      <w:r>
        <w:rPr>
          <w:rFonts w:ascii="Arial" w:hAnsi="Arial"/>
          <w:color w:val="000000"/>
          <w:sz w:val="22"/>
        </w:rPr>
        <w:t>Repository: https://github.com/ZHIQIAN-fine/NarraCare. Source, configs, synthetic inputs, current result artifacts and CLI/HTML demonstrations are included. Section 7 gives reproduction commands. The current results follow the ungated-IER and five-rule SVR repair; static input data and narrator templates remain unchanged.</w:t>
      </w:r>
    </w:p>
    <w:p>
      <w:pPr>
        <w:pStyle w:val="Heading1"/>
        <w:widowControl/>
        <w:spacing w:line="240" w:lineRule="auto"/>
      </w:pPr>
      <w:r>
        <w:rPr>
          <w:rFonts w:ascii="Arial" w:hAnsi="Arial" w:eastAsia="Arial" w:cs="Arial"/>
          <w:b/>
          <w:color w:val="000000"/>
          <w:sz w:val="22"/>
        </w:rPr>
        <w:t>2. Related Work</w:t>
      </w:r>
    </w:p>
    <w:p>
      <w:pPr>
        <w:widowControl/>
        <w:spacing w:line="240" w:lineRule="auto"/>
      </w:pPr>
      <w:r>
        <w:rPr>
          <w:rFonts w:ascii="Arial" w:hAnsi="Arial" w:eastAsia="Arial" w:cs="Arial"/>
          <w:color w:val="000000"/>
          <w:sz w:val="22"/>
        </w:rPr>
        <w:t>Contextual bandits provide online adaptation from patient feedback. LinUCB [9] supplies an interpretable reward backbone; Thompson sampling [1,5] and Bayesian bandit comparisons [14] motivate an additional uncertainty-aware safety signal. SAPS uses a Beta draw for safety while retaining a LinUCB UCB reward score. It is a task-specific hybrid rather than a claim to a new regret guarantee. Constrained decision processes [2] and safe bandits [3,10] motivate separating hard feasibility from learned reward, but NarraCare does not implement their full constraint-optimization algorithms. Its safety penalty is configured, not a learned Lagrange multiplier. The modified NeuralUCB reference is inspired by [17], yet its shared network output cancels in arm ranking; it is not original gradient-UCB. For narrative support, self-determination and stages-of-change theories [6,12] motivate a progression from guidance to autonomy. Interactive narrative [13] and generative agents [11] provide architectural context, while human-AI empathy work [15] motivates auditing tone. These sources do not establish that our templates improve rehabilitation adherence. We evaluate the implemented templates directly.</w:t>
      </w:r>
    </w:p>
    <w:p>
      <w:pPr>
        <w:pStyle w:val="Heading1"/>
        <w:widowControl/>
        <w:spacing w:line="240" w:lineRule="auto"/>
      </w:pPr>
      <w:r>
        <w:rPr>
          <w:rFonts w:ascii="Arial" w:hAnsi="Arial" w:eastAsia="Arial" w:cs="Arial"/>
          <w:b/>
          <w:color w:val="000000"/>
          <w:sz w:val="22"/>
        </w:rPr>
        <w:t>3. Dataset and Problem Formulation</w:t>
      </w:r>
    </w:p>
    <w:p>
      <w:pPr>
        <w:pStyle w:val="Heading2"/>
        <w:widowControl/>
        <w:spacing w:line="240" w:lineRule="auto"/>
      </w:pPr>
      <w:r>
        <w:rPr>
          <w:rFonts w:ascii="Arial" w:hAnsi="Arial" w:eastAsia="Arial" w:cs="Arial"/>
          <w:b/>
          <w:color w:val="000000"/>
          <w:sz w:val="22"/>
        </w:rPr>
        <w:t>3.1 Overview and provenance</w:t>
      </w:r>
    </w:p>
    <w:p>
      <w:pPr>
        <w:widowControl/>
        <w:spacing w:line="240" w:lineRule="auto"/>
      </w:pPr>
      <w:r>
        <w:rPr>
          <w:rFonts w:ascii="Arial" w:hAnsi="Arial" w:eastAsia="Arial" w:cs="Arial"/>
          <w:color w:val="000000"/>
          <w:sz w:val="22"/>
        </w:rPr>
        <w:t>All data is synthetic and authored for this coursework. The fixed JSON assets are committed under data/: user_profiles.json, task_library.json, safety_rules.json, narrative_arcs.json and narrator_tone_templates.json. No identifiable patient records or external dataset download is used. Static inputs are read directly without preprocessing; reproduction scripts generate experiment outputs, not the input catalogues. Clinical publications motivate the exercise setting, but the student-authored rules are neither a complete protocol nor clinician-certified. Simulator and policy co-authorship may align the evaluation environment with our design assumptions, so results establish behavior within this simulation only.</w:t>
      </w:r>
    </w:p>
    <w:p>
      <w:pPr>
        <w:pStyle w:val="Heading2"/>
        <w:widowControl/>
        <w:spacing w:line="240" w:lineRule="auto"/>
      </w:pPr>
      <w:r>
        <w:rPr>
          <w:rFonts w:ascii="Arial" w:hAnsi="Arial" w:eastAsia="Arial" w:cs="Arial"/>
          <w:b/>
          <w:color w:val="000000"/>
          <w:sz w:val="22"/>
        </w:rPr>
        <w:t>3.2 User cohort (N = 20)</w:t>
      </w:r>
    </w:p>
    <w:p>
      <w:pPr>
        <w:widowControl/>
        <w:spacing w:line="240" w:lineRule="auto"/>
      </w:pPr>
      <w:r>
        <w:rPr>
          <w:rFonts w:ascii="Arial" w:hAnsi="Arial" w:eastAsia="Arial" w:cs="Arial"/>
          <w:color w:val="000000"/>
          <w:sz w:val="22"/>
        </w:rPr>
        <w:t>The cohort contains 20 personas: ACL reconstruction U001-U005 and U016-U020 (n=10), rotator-cuff repair U006-U010 (n=5), and chronic lower-back pain U011-U015 (n=5). Profiles include age, condition, starting stage, baseline pain/fatigue, ROM where applicable, preferences, contraindication tags and personality. The personality split is motivated 7, inconsistent 6 and cautious 7. The simulator maps these to utility thresholds 0.15, 0.22 and 0.30 respectively. These are design choices, not estimates fitted to clinical adherence data. Some fields have missing values and are handled by component defaults; this limits clinical interpretation.</w:t>
      </w:r>
    </w:p>
    <w:p>
      <w:pPr>
        <w:pStyle w:val="Heading2"/>
        <w:widowControl/>
        <w:spacing w:line="240" w:lineRule="auto"/>
      </w:pPr>
      <w:r>
        <w:rPr>
          <w:rFonts w:ascii="Arial" w:hAnsi="Arial" w:eastAsia="Arial" w:cs="Arial"/>
          <w:b/>
          <w:color w:val="000000"/>
          <w:sz w:val="22"/>
        </w:rPr>
        <w:t>3.3 Task catalogue (|A| = 100)</w:t>
      </w:r>
    </w:p>
    <w:p>
      <w:pPr>
        <w:widowControl/>
        <w:spacing w:line="240" w:lineRule="auto"/>
      </w:pPr>
      <w:r>
        <w:rPr>
          <w:rFonts w:ascii="Arial" w:hAnsi="Arial" w:eastAsia="Arial" w:cs="Arial"/>
          <w:color w:val="000000"/>
          <w:sz w:val="22"/>
        </w:rPr>
        <w:t>The catalogue has 100 tasks: strength 41, flexibility 29, balance 12, cardio 10 and rest 8. Each JSON record contains task_id, name, name_zh, category, body_part, difficulty, duration_min, reps, sets, contraindications, applicable_stages, equipment, description and safety_notes. Difficulty ranges from 1 to 5. The records do not contain expected pain/fatigue/ROM delta fields or narrative tags. Separately, UserUnderstandingAgent constructs a 15-dimensional patient context from state, profile and memory; that feature vector must not be confused with a task record. The static catalogue, not a learned clinical representation, defines the recommendation action space.</w:t>
      </w:r>
    </w:p>
    <w:p>
      <w:pPr>
        <w:pStyle w:val="Heading2"/>
        <w:widowControl/>
        <w:spacing w:line="240" w:lineRule="auto"/>
      </w:pPr>
      <w:r>
        <w:rPr>
          <w:rFonts w:ascii="Arial" w:hAnsi="Arial" w:eastAsia="Arial" w:cs="Arial"/>
          <w:b/>
          <w:color w:val="000000"/>
          <w:sz w:val="22"/>
        </w:rPr>
        <w:t>3.4 Condition-specific contraindications</w:t>
      </w:r>
    </w:p>
    <w:p>
      <w:pPr>
        <w:widowControl/>
        <w:spacing w:line="240" w:lineRule="auto"/>
      </w:pPr>
      <w:r>
        <w:rPr>
          <w:rFonts w:ascii="Arial" w:hAnsi="Arial" w:eastAsia="Arial" w:cs="Arial"/>
          <w:color w:val="000000"/>
          <w:sz w:val="22"/>
        </w:rPr>
        <w:t>Runtime PF_R1 removes a task when its contraindication tags intersect the patient's personal contraindication list. PF_R2 checks applicable_stages against the profile's stage. Other runtime checks use pain, fatigue, ROM and task properties as listed in Table 4.1. These are literal implemented predicates, not a general interpreter of clinical rules. In particular, the JSON contraindication/dosage/fatigue definitions are not dynamically evaluated as their written trigger expressions during pre_filter. The presence of a design definition therefore does not establish that its full clinical semantics are enforced.</w:t>
      </w:r>
    </w:p>
    <w:p>
      <w:pPr>
        <w:pStyle w:val="Heading2"/>
        <w:widowControl/>
        <w:spacing w:line="240" w:lineRule="auto"/>
      </w:pPr>
      <w:r>
        <w:rPr>
          <w:rFonts w:ascii="Arial" w:hAnsi="Arial" w:eastAsia="Arial" w:cs="Arial"/>
          <w:b/>
          <w:color w:val="000000"/>
          <w:sz w:val="22"/>
        </w:rPr>
        <w:t>3.5 Expected-Utility simulator and rollout structure</w:t>
      </w:r>
    </w:p>
    <w:p>
      <w:pPr>
        <w:widowControl/>
        <w:spacing w:line="240" w:lineRule="auto"/>
      </w:pPr>
      <w:r>
        <w:rPr>
          <w:rFonts w:ascii="Arial" w:hAnsi="Arial" w:eastAsia="Arial" w:cs="Arial"/>
          <w:color w:val="000000"/>
          <w:sz w:val="22"/>
        </w:rPr>
        <w:t>The simulator generates daily state from profile baselines, noise and internal ROM bookkeeping. It scores a task with utility U = 0.35 DF + 0.20 PM + 0.10 NV - 0.20 PR - 0.15 FC, representing difficulty fit, preference match, novelty, pain risk and fatigue cost. Acceptance is sampled with probability sigmoid(8(U - U_theta)); feedback and scalar reward are computed separately. A fixed seed makes reruns reproducible within a compatible environment. It does not guarantee identical realized user-day noise across policies: random draws are consumed sequentially, and NeuralUCB warm-start draws additional states. All users share one online learner. The input arc day ranges are 1-15, 16-40 and 41-60, while pipeline indexing begins at zero; Section 6 explains the resulting fallback. Cold-start trains on 15 ACL/RC users and evaluates on five BP users.</w:t>
      </w:r>
    </w:p>
    <w:p>
      <w:pPr>
        <w:pStyle w:val="Heading2"/>
        <w:widowControl/>
        <w:spacing w:line="240" w:lineRule="auto"/>
      </w:pPr>
      <w:r>
        <w:rPr>
          <w:rFonts w:ascii="Arial" w:hAnsi="Arial" w:eastAsia="Arial" w:cs="Arial"/>
          <w:b/>
          <w:color w:val="000000"/>
          <w:sz w:val="22"/>
        </w:rPr>
        <w:t>3.6 Problem formulation and metrics</w:t>
      </w:r>
    </w:p>
    <w:p>
      <w:pPr>
        <w:widowControl/>
        <w:spacing w:line="240" w:lineRule="auto"/>
      </w:pPr>
      <w:r>
        <w:rPr>
          <w:rFonts w:ascii="Arial" w:hAnsi="Arial"/>
          <w:color w:val="000000"/>
          <w:sz w:val="22"/>
        </w:rPr>
        <w:t>Acceptance is accepted interactions divided by all interactions. Cumulative Reward sums scalar rewards per persona and averages over personas. IER measures the fraction of an ungated all-candidate top-5 outside the current feasible set, including emotional difficulty caps, then averages across turns/personas. SAPS uses select_raw_topk rather than its gated select method. The same infeasible IDs receive the existing negative reward updates, so this repair changes learning as well as measurement. SVR counts accepted tasks violating any of PF_R1-PF_R5, divided by accepted tasks. Every log carries this observation from a full-rule SafetyAgent audit, including NoSafety/one-drop runs. Formal summaries average per-person SVR, while dedicated pooled replay and the single-user CLI divide total violations by total accepted tasks. Diversity is unique chosen task IDs divided by interactions per persona, not Diversity@10.</w:t>
      </w:r>
    </w:p>
    <w:p>
      <w:pPr>
        <w:pStyle w:val="Heading1"/>
        <w:widowControl/>
        <w:spacing w:line="240" w:lineRule="auto"/>
      </w:pPr>
      <w:r>
        <w:rPr>
          <w:rFonts w:ascii="Arial" w:hAnsi="Arial" w:eastAsia="Arial" w:cs="Arial"/>
          <w:b/>
          <w:color w:val="000000"/>
          <w:sz w:val="22"/>
        </w:rPr>
        <w:t>4. Proposed System</w:t>
      </w:r>
    </w:p>
    <w:p>
      <w:pPr>
        <w:pStyle w:val="Heading2"/>
        <w:widowControl/>
        <w:spacing w:line="240" w:lineRule="auto"/>
      </w:pPr>
      <w:r>
        <w:rPr>
          <w:rFonts w:ascii="Arial" w:hAnsi="Arial" w:eastAsia="Arial" w:cs="Arial"/>
          <w:b/>
          <w:color w:val="000000"/>
          <w:sz w:val="22"/>
        </w:rPr>
        <w:t>4.1 System overview</w:t>
      </w:r>
    </w:p>
    <w:p>
      <w:pPr>
        <w:widowControl/>
        <w:spacing w:line="240" w:lineRule="auto"/>
      </w:pPr>
      <w:r>
        <w:rPr>
          <w:rFonts w:ascii="Arial" w:hAnsi="Arial" w:eastAsia="Arial" w:cs="Arial"/>
          <w:color w:val="000000"/>
          <w:sz w:val="22"/>
        </w:rPr>
        <w:t>The five components operate within one pipeline. Each day, the User Simulator emits state and the understanding/memory layer builds context. Safety pre_filter and an emotional difficulty cap restrict candidates before the Recommender ranks them. Safety post_check then reviews the shortlist. The template Narrator renders a proposed task, the simulator chooses and produces feedback, and the Reward Composer computes the scalar reward used in online updates. The Narrator adds a daily closing after the interaction. Thus safety runs both before and after ranking. The Reward Composer is implemented in the simulator's compute_reward function and invoked by pipeline orchestration, rather than an independently deployed service.</w:t>
      </w:r>
    </w:p>
    <w:p>
      <w:pPr>
        <w:pStyle w:val="Heading2"/>
        <w:widowControl/>
        <w:spacing w:line="240" w:lineRule="auto"/>
      </w:pPr>
      <w:r>
        <w:rPr>
          <w:rFonts w:ascii="Arial" w:hAnsi="Arial" w:eastAsia="Arial" w:cs="Arial"/>
          <w:b/>
          <w:color w:val="000000"/>
          <w:sz w:val="22"/>
        </w:rPr>
        <w:t>4.2 User Simulator</w:t>
      </w:r>
    </w:p>
    <w:p>
      <w:pPr>
        <w:widowControl/>
        <w:spacing w:line="240" w:lineRule="auto"/>
      </w:pPr>
      <w:r>
        <w:rPr>
          <w:rFonts w:ascii="Arial" w:hAnsi="Arial" w:eastAsia="Arial" w:cs="Arial"/>
          <w:color w:val="000000"/>
          <w:sz w:val="22"/>
        </w:rPr>
        <w:t>UserSimulator exposes simulate_daily_state, simulate_choice, simulate_feedback and compute_reward. Expected utility determines a probabilistic choice among recommended tasks; feedback supplies completion, pain_change, fatigue_change, ROM change and satisfaction. Personality and task properties affect these signals. Daily pain/fatigue are noisy baseline-driven quantities, not a validated clinical transition model. A bookkeeping limitation is that simulate_feedback can increment completed-task counters before the pipeline overwrites a rejected action's completion flag. Skipped actions may therefore still contribute to internal recovery bookkeeping. We retain this implementation and report the simulation as stylized, not clinically calibrated.</w:t>
      </w:r>
    </w:p>
    <w:p>
      <w:pPr>
        <w:pStyle w:val="Heading2"/>
        <w:widowControl/>
        <w:spacing w:line="240" w:lineRule="auto"/>
      </w:pPr>
      <w:r>
        <w:rPr>
          <w:rFonts w:ascii="Arial" w:hAnsi="Arial" w:eastAsia="Arial" w:cs="Arial"/>
          <w:b/>
          <w:color w:val="000000"/>
          <w:sz w:val="22"/>
        </w:rPr>
        <w:t>4.3 Recommender (SAPS + LinUCB + five baselines)</w:t>
      </w:r>
    </w:p>
    <w:p>
      <w:pPr>
        <w:widowControl/>
        <w:spacing w:line="240" w:lineRule="auto"/>
      </w:pPr>
      <w:r>
        <w:rPr>
          <w:rFonts w:ascii="Arial" w:hAnsi="Arial"/>
          <w:color w:val="000000"/>
          <w:sz w:val="22"/>
        </w:rPr>
        <w:t>LinUCB [9] uses disjoint per-task A and b statistics on a 15-dimensional patient context, with alpha=1.0. SAPS adds a Beta safety distribution per task and scores S(a) = r_ucb(a) + tau_safe * s_a, where s_a is sampled from Beta(alpha_a,beta_a) and tau_safe=2.0. The reward term is a deterministic LinUCB UCB score, not a sampled Gaussian reward posterior. Each chosen task receives a Bernoulli safety observation defined by pain_change &lt;= 1.0. Beta parameters are task-indexed and shared across users; blocked tasks have no post-hoc observation. SAPS gates delivered output by feasible IDs, but its IER/penalty ranking bypasses that gate through select_raw_topk. The modified NeuralUCB reference uses hidden_dim=32, epochs=5, alpha=0.01 and safety_lambda=3.0. Its score is a shared network prediction plus per-arm mean reward and Gaussian exploration noise. The shared prediction cancels in ranking, so it is a limited arm-statistics heuristic, not original gradient-UCB [17]. Popularity ranks historical mean reward; epsilon-greedy uses epsilon=0.10. RuleBased assigns identical scores to all candidate IDs and relies on input order for ties. Random assigns random scores. These limitations qualify comparative claims.</w:t>
      </w:r>
    </w:p>
    <w:p>
      <w:pPr>
        <w:pStyle w:val="Heading2"/>
        <w:widowControl/>
        <w:spacing w:line="240" w:lineRule="auto"/>
      </w:pPr>
      <w:r>
        <w:rPr>
          <w:rFonts w:ascii="Arial" w:hAnsi="Arial" w:eastAsia="Arial" w:cs="Arial"/>
          <w:b/>
          <w:color w:val="000000"/>
          <w:sz w:val="22"/>
        </w:rPr>
        <w:t>4.4 Two-layer Safety Framework (56 rules)</w:t>
      </w:r>
    </w:p>
    <w:p>
      <w:pPr>
        <w:widowControl/>
        <w:spacing w:line="240" w:lineRule="auto"/>
      </w:pPr>
      <w:r>
        <w:rPr>
          <w:rFonts w:ascii="Arial" w:hAnsi="Arial" w:eastAsia="Arial" w:cs="Arial"/>
          <w:color w:val="000000"/>
          <w:sz w:val="22"/>
        </w:rPr>
        <w:t>The safety assets have two layers: five executed pre-filter predicates (PF_R1-PF_R5) and 51 design-time JSON definitions. Table 4.1 states the actual pre-filter conditions. Layer B consists of 16 contraindication, nine dosage, six fatigue, ten crisis and ten progression definitions. It must not be described as 51 additional predicates executed on every task. Post_check reads a dosage_limits key absent from the current JSON and therefore uses defaults. Crisis definitions support an interactive crisis path, while progression has an API but is not called by the main simulation. The study's post-hoc safety analysis is bounded to the five runtime predicates.</w:t>
      </w:r>
    </w:p>
    <w:p>
      <w:pPr>
        <w:keepNext/>
        <w:widowControl/>
        <w:spacing w:line="240" w:lineRule="auto"/>
      </w:pPr>
      <w:r>
        <w:rPr>
          <w:rFonts w:ascii="Arial" w:hAnsi="Arial" w:eastAsia="Arial" w:cs="Arial"/>
          <w:color w:val="000000"/>
          <w:sz w:val="22"/>
        </w:rPr>
        <w:t>Table 4.1 Runtime pre filter predicates in safety_agent.py</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880"/>
        <w:gridCol w:w="5472"/>
      </w:tblGrid>
      <w:tr>
        <w:trPr>
          <w:cantSplit/>
          <w:tblHeader/>
        </w:trPr>
        <w:tc>
          <w:tcPr>
            <w:tcW w:type="dxa" w:w="115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Rule</w:t>
            </w:r>
          </w:p>
        </w:tc>
        <w:tc>
          <w:tcPr>
            <w:tcW w:type="dxa" w:w="288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Semantics</w:t>
            </w:r>
          </w:p>
        </w:tc>
        <w:tc>
          <w:tcPr>
            <w:tcW w:type="dxa" w:w="547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Implemented predicate</w:t>
            </w:r>
          </w:p>
        </w:tc>
      </w:tr>
      <w:tr>
        <w:trPr>
          <w:cantSplit/>
        </w:trPr>
        <w:tc>
          <w:tcPr>
            <w:tcW w:type="dxa" w:w="115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PF_R1</w:t>
            </w:r>
          </w:p>
        </w:tc>
        <w:tc>
          <w:tcPr>
            <w:tcW w:type="dxa" w:w="288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Contraindication tag overlap</w:t>
            </w:r>
          </w:p>
        </w:tc>
        <w:tc>
          <w:tcPr>
            <w:tcW w:type="dxa" w:w="547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user_contras ∩ task_contras ≠ ∅</w:t>
            </w:r>
          </w:p>
        </w:tc>
      </w:tr>
      <w:tr>
        <w:trPr>
          <w:cantSplit/>
        </w:trPr>
        <w:tc>
          <w:tcPr>
            <w:tcW w:type="dxa" w:w="115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PF_R2</w:t>
            </w:r>
          </w:p>
        </w:tc>
        <w:tc>
          <w:tcPr>
            <w:tcW w:type="dxa" w:w="288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Rehab stage mismatch</w:t>
            </w:r>
          </w:p>
        </w:tc>
        <w:tc>
          <w:tcPr>
            <w:tcW w:type="dxa" w:w="547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task_stages ≠ ∅ ∧ user_stage ∉ task_stages</w:t>
            </w:r>
          </w:p>
        </w:tc>
      </w:tr>
      <w:tr>
        <w:trPr>
          <w:cantSplit/>
        </w:trPr>
        <w:tc>
          <w:tcPr>
            <w:tcW w:type="dxa" w:w="115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PF_R3</w:t>
            </w:r>
          </w:p>
        </w:tc>
        <w:tc>
          <w:tcPr>
            <w:tcW w:type="dxa" w:w="288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High pain + high difficulty</w:t>
            </w:r>
          </w:p>
        </w:tc>
        <w:tc>
          <w:tcPr>
            <w:tcW w:type="dxa" w:w="547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pain ≥ 7 ∧ difficulty ≥ 4</w:t>
            </w:r>
          </w:p>
        </w:tc>
      </w:tr>
      <w:tr>
        <w:trPr>
          <w:cantSplit/>
        </w:trPr>
        <w:tc>
          <w:tcPr>
            <w:tcW w:type="dxa" w:w="115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PF_R4</w:t>
            </w:r>
          </w:p>
        </w:tc>
        <w:tc>
          <w:tcPr>
            <w:tcW w:type="dxa" w:w="288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Severe fatigue on non-restorative</w:t>
            </w:r>
          </w:p>
        </w:tc>
        <w:tc>
          <w:tcPr>
            <w:tcW w:type="dxa" w:w="547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fatigue ≥ 8 ∧ category ∉ {rest, flexibility}</w:t>
            </w:r>
          </w:p>
        </w:tc>
      </w:tr>
      <w:tr>
        <w:trPr>
          <w:cantSplit/>
        </w:trPr>
        <w:tc>
          <w:tcPr>
            <w:tcW w:type="dxa" w:w="1152"/>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PF_R5</w:t>
            </w:r>
          </w:p>
        </w:tc>
        <w:tc>
          <w:tcPr>
            <w:tcW w:type="dxa" w:w="2880"/>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Low ROM pre-strength clearance</w:t>
            </w:r>
          </w:p>
        </w:tc>
        <w:tc>
          <w:tcPr>
            <w:tcW w:type="dxa" w:w="5472"/>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rom &lt; 60 ∧ (difficulty ≥ 3 ∨ category = cardio)</w:t>
            </w:r>
          </w:p>
        </w:tc>
      </w:tr>
    </w:tbl>
    <w:p>
      <w:pPr>
        <w:widowControl/>
        <w:spacing w:line="240" w:lineRule="auto"/>
      </w:pPr>
      <w:r>
        <w:rPr>
          <w:rFonts w:ascii="Arial" w:hAnsi="Arial" w:eastAsia="Arial" w:cs="Arial"/>
          <w:color w:val="000000"/>
          <w:sz w:val="22"/>
        </w:rPr>
        <w:t>Each pre-filter rule has a drop_rule ablation hook, allowing a one-rule removal without rewriting the rule chain. Clinical references [8,16] provide context for the authored assets, not evidence that the full JSON set implements complete post-operative protocols. Kuhn [8] concerns rotator-cuff impingement and cannot substitute for a complete surgical-repair guideline. Any patient-facing deployment would require clinical review of both rules and task metadata.</w:t>
      </w:r>
    </w:p>
    <w:p>
      <w:pPr>
        <w:pStyle w:val="Heading2"/>
        <w:widowControl/>
        <w:spacing w:line="240" w:lineRule="auto"/>
      </w:pPr>
      <w:r>
        <w:rPr>
          <w:rFonts w:ascii="Arial" w:hAnsi="Arial" w:eastAsia="Arial" w:cs="Arial"/>
          <w:b/>
          <w:color w:val="000000"/>
          <w:sz w:val="22"/>
        </w:rPr>
        <w:t>4.5 Narrator (v1.3.2)</w:t>
      </w:r>
    </w:p>
    <w:p>
      <w:pPr>
        <w:widowControl/>
        <w:spacing w:line="240" w:lineRule="auto"/>
      </w:pPr>
      <w:r>
        <w:rPr>
          <w:rFonts w:ascii="Arial" w:hAnsi="Arial" w:eastAsia="Arial" w:cs="Arial"/>
          <w:color w:val="000000"/>
          <w:sz w:val="22"/>
        </w:rPr>
        <w:t>Narrator v1.3.2 reads authored arc metadata and tone templates. It produces recommendation framing through speak() and daily acknowledgment through say_daily_closing(). Base tones are doctor, coach and companion, with transition-zone mixing and emotional overrides. Safety-trigger and red-light overrides take priority; yellow mixes with the base tone. Closing variants include no_interaction, safety_followup, skip_recovery, concern, celebration and tone-specific neutral messages. Required template slots are validated and missing slots trigger a fallback counter. In the simulation, safety_followup is driven by the logged infeasible-top-k signal, not every task removed by pre_filter. The runtime condition-name and day-zero fallback issues in Section 6 mean the three condition-specific input arcs are not all resolved as intended. Rendering uses templates and does not call an LLM in the demonstration.</w:t>
      </w:r>
    </w:p>
    <w:p>
      <w:pPr>
        <w:pStyle w:val="Heading2"/>
        <w:widowControl/>
        <w:spacing w:line="240" w:lineRule="auto"/>
      </w:pPr>
      <w:r>
        <w:rPr>
          <w:rFonts w:ascii="Arial" w:hAnsi="Arial" w:eastAsia="Arial" w:cs="Arial"/>
          <w:b/>
          <w:color w:val="000000"/>
          <w:sz w:val="22"/>
        </w:rPr>
        <w:t>4.6 Reward Composer and integration invariants</w:t>
      </w:r>
    </w:p>
    <w:p>
      <w:pPr>
        <w:widowControl/>
        <w:spacing w:line="240" w:lineRule="auto"/>
      </w:pPr>
      <w:r>
        <w:rPr>
          <w:rFonts w:ascii="Arial" w:hAnsi="Arial" w:eastAsia="Arial" w:cs="Arial"/>
          <w:color w:val="000000"/>
          <w:sz w:val="22"/>
        </w:rPr>
        <w:t>The scalar reward is a weighted combination of completion (0.35), pain-based safety (0.25), difficulty match (0.20), pain penalty term (0.10), dropout term (0.05) and category match (0.05). It is distinct from the expected utility used to sample user choice. Infeasible proposed tasks receive separate negative recommender updates with effective_lambda = configured safety_lambda times an arc multiplier of 1.5, 1.0 or 0.7. This coefficient is not learned. The pipeline tracks acceptance/skip/no-interaction flags to construct one daily closing, and validates narrator slots. Narrative quality is evaluated externally rather than included in the scalar reward.</w:t>
      </w:r>
    </w:p>
    <w:p>
      <w:pPr>
        <w:pStyle w:val="Heading2"/>
        <w:widowControl/>
        <w:spacing w:line="240" w:lineRule="auto"/>
      </w:pPr>
      <w:r>
        <w:rPr>
          <w:rFonts w:ascii="Arial" w:hAnsi="Arial" w:eastAsia="Arial" w:cs="Arial"/>
          <w:b/>
          <w:color w:val="000000"/>
          <w:sz w:val="22"/>
        </w:rPr>
        <w:t>4.7 Implementation summary</w:t>
      </w:r>
    </w:p>
    <w:p>
      <w:pPr>
        <w:widowControl/>
        <w:spacing w:line="240" w:lineRule="auto"/>
      </w:pPr>
      <w:r>
        <w:rPr>
          <w:rFonts w:ascii="Arial" w:hAnsi="Arial" w:eastAsia="Arial" w:cs="Arial"/>
          <w:color w:val="000000"/>
          <w:sz w:val="22"/>
        </w:rPr>
        <w:t>Experiments use seed 42 with NumPy, SciPy and CPU PyTorch as pinned in requirements.txt. The study uses a single seed and fixed hyperparameters. Active models are defined in src/agents/recommender.py and src/policies/saps.py; the separate src/models stack is not the reported factory. The main shortlist has three tasks; IER uses five proposals. Policy-specific formal runner overrides take precedence over defaults. Hyperparameters and executable commands are recorded in the repository README. No pretrained model download is required: learning occurs online in the simulator.</w:t>
      </w:r>
    </w:p>
    <w:p>
      <w:pPr>
        <w:pStyle w:val="Heading1"/>
        <w:widowControl/>
        <w:spacing w:line="240" w:lineRule="auto"/>
      </w:pPr>
      <w:r>
        <w:rPr>
          <w:rFonts w:ascii="Arial" w:hAnsi="Arial" w:eastAsia="Arial" w:cs="Arial"/>
          <w:b/>
          <w:color w:val="000000"/>
          <w:sz w:val="22"/>
        </w:rPr>
        <w:t>5. Experimental Setup and Results</w:t>
      </w:r>
    </w:p>
    <w:p>
      <w:pPr>
        <w:pStyle w:val="Heading2"/>
        <w:widowControl/>
        <w:spacing w:line="240" w:lineRule="auto"/>
      </w:pPr>
      <w:r>
        <w:rPr>
          <w:rFonts w:ascii="Arial" w:hAnsi="Arial" w:eastAsia="Arial" w:cs="Arial"/>
          <w:b/>
          <w:color w:val="000000"/>
          <w:sz w:val="22"/>
        </w:rPr>
        <w:t>5.1 Experimental protocol</w:t>
      </w:r>
    </w:p>
    <w:p>
      <w:pPr>
        <w:widowControl/>
        <w:spacing w:line="240" w:lineRule="auto"/>
      </w:pPr>
      <w:r>
        <w:rPr>
          <w:rFonts w:ascii="Arial" w:hAnsi="Arial"/>
          <w:color w:val="000000"/>
          <w:sz w:val="22"/>
        </w:rPr>
        <w:t>The main setting is 60 days x 20 personas, using the same input cohort, catalogue and runtime safety predicates across seven policies. Each policy has a seeded run, but realized random draws need not align. One model is shared across personas. We report acceptance, mean cumulative reward, ungated IER, five-rule SVR and task-ID coverage. The two regenerated paired comparison artifacts summarize per-person reward/IER for SAPS versus LinUCB and modified NeuralUCB. Their p-values are exploratory fixed-cohort statistics. For a conservative reading we also note the earlier seven-comparison threshold 0.05/7=0.00714; no independently repeated-run inference is claimed.</w:t>
      </w:r>
    </w:p>
    <w:p>
      <w:pPr>
        <w:pStyle w:val="Heading2"/>
        <w:widowControl/>
        <w:spacing w:line="240" w:lineRule="auto"/>
      </w:pPr>
      <w:r>
        <w:rPr>
          <w:rFonts w:ascii="Arial" w:hAnsi="Arial" w:eastAsia="Arial" w:cs="Arial"/>
          <w:b/>
          <w:color w:val="000000"/>
          <w:sz w:val="22"/>
        </w:rPr>
        <w:t>5.2 Main result — 60-day full horizon</w:t>
      </w:r>
    </w:p>
    <w:p>
      <w:pPr>
        <w:keepNext/>
        <w:widowControl/>
        <w:spacing w:line="240" w:lineRule="auto"/>
      </w:pPr>
      <w:r>
        <w:rPr>
          <w:rFonts w:ascii="Arial" w:hAnsi="Arial" w:eastAsia="Arial" w:cs="Arial"/>
          <w:color w:val="000000"/>
          <w:sz w:val="22"/>
        </w:rPr>
        <w:t>Table 5.1 Recorded 60 day summaries for 20 synthetic personas at seed 42</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440"/>
        <w:gridCol w:w="2304"/>
        <w:gridCol w:w="1080"/>
        <w:gridCol w:w="1080"/>
        <w:gridCol w:w="1440"/>
      </w:tblGrid>
      <w:tr>
        <w:trPr>
          <w:cantSplit/>
          <w:tblHeader/>
        </w:trPr>
        <w:tc>
          <w:tcPr>
            <w:tcW w:type="dxa" w:w="1728"/>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Policy</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Acceptance</w:t>
            </w:r>
          </w:p>
        </w:tc>
        <w:tc>
          <w:tcPr>
            <w:tcW w:type="dxa" w:w="2304"/>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Cum. Reward</w:t>
            </w:r>
          </w:p>
        </w:tc>
        <w:tc>
          <w:tcPr>
            <w:tcW w:type="dxa" w:w="108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SVR*</w:t>
            </w:r>
          </w:p>
        </w:tc>
        <w:tc>
          <w:tcPr>
            <w:tcW w:type="dxa" w:w="108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IER*</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Coverage</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SAPS</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0.6158</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42.0182 ± 3.0136</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0.0223</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0.3483</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LinUCB</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0.6192</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41.9395 ± 3.0015</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0.0233</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0.3908</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NeuralUCB modified</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0.4942</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38.31</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0.0022</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Random</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0.7033</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45.94</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0.4082</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0.6308</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Popularity</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0.5184</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39.03</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0.0127</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0.0708</w:t>
            </w:r>
          </w:p>
        </w:tc>
      </w:tr>
      <w:tr>
        <w:trPr>
          <w:cantSplit/>
        </w:trPr>
        <w:tc>
          <w:tcPr>
            <w:tcW w:type="dxa" w:w="172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RuleBased</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0.6000</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43.33</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0.3257</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0.0791</w:t>
            </w:r>
          </w:p>
        </w:tc>
      </w:tr>
      <w:tr>
        <w:trPr>
          <w:cantSplit/>
        </w:trPr>
        <w:tc>
          <w:tcPr>
            <w:tcW w:type="dxa" w:w="1728"/>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ε-Greedy</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0.5825</w:t>
            </w:r>
          </w:p>
        </w:tc>
        <w:tc>
          <w:tcPr>
            <w:tcW w:type="dxa" w:w="2304"/>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40.95</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0.0000</w:t>
            </w:r>
          </w:p>
        </w:tc>
        <w:tc>
          <w:tcPr>
            <w:tcW w:type="dxa" w:w="108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0.0503</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0.2317</w:t>
            </w:r>
          </w:p>
        </w:tc>
      </w:tr>
    </w:tbl>
    <w:p>
      <w:pPr>
        <w:widowControl/>
        <w:spacing w:line="240" w:lineRule="auto"/>
      </w:pPr>
      <w:r>
        <w:rPr>
          <w:rFonts w:ascii="Arial" w:hAnsi="Arial"/>
          <w:color w:val="000000"/>
          <w:sz w:val="22"/>
        </w:rPr>
        <w:t>* SVR uses accepted-task five-rule observations and per-person averaging. IER uses ungated top-5 proposals. Coverage is unique chosen task IDs / interactions. The reward standard deviation is across personas. Sources are the current policy-named JSON files under evaluation/results/; default demo settings differ from formal NeuralUCB settings.</w:t>
      </w:r>
    </w:p>
    <w:p>
      <w:pPr>
        <w:widowControl/>
        <w:spacing w:line="240" w:lineRule="auto"/>
      </w:pPr>
      <w:r>
        <w:rPr>
          <w:rFonts w:ascii="Arial" w:hAnsi="Arial"/>
          <w:color w:val="000000"/>
          <w:sz w:val="22"/>
        </w:rPr>
        <w:t>SAPS records 42.0182 +/- 3.0136 reward versus LinUCB 41.9395 +/- 3.0015. The paired difference is +0.0787, t(19)=0.3328, p=0.7429, 95% CI [-0.4163,0.5737], paired d=0.0744. The IER difference is -0.0010, p=0.6295. Neither comparison supports an advantage over LinUCB. Against modified NeuralUCB, reward difference is +3.7046 (p=1.01e-06), but SAPS has higher IER by 0.02017 (p=1.88e-06). Random has the highest reward in the main table. The repaired path activates existing penalties on ungated infeasible proposals, so earlier gated-version reward figures do not describe this implementation. No independent Beta-only causal effect is established.</w:t>
      </w:r>
    </w:p>
    <w:p>
      <w:pPr>
        <w:pStyle w:val="Heading3"/>
        <w:widowControl/>
        <w:spacing w:line="240" w:lineRule="auto"/>
      </w:pPr>
      <w:r>
        <w:rPr>
          <w:rFonts w:ascii="Arial" w:hAnsi="Arial" w:eastAsia="Arial" w:cs="Arial"/>
          <w:b/>
          <w:color w:val="000000"/>
          <w:sz w:val="22"/>
        </w:rPr>
        <w:t>5.2.1 Statistical testing protocol</w:t>
      </w:r>
    </w:p>
    <w:p>
      <w:pPr>
        <w:widowControl/>
        <w:spacing w:line="240" w:lineRule="auto"/>
      </w:pPr>
      <w:r>
        <w:rPr>
          <w:rFonts w:ascii="Arial" w:hAnsi="Arial" w:eastAsia="Arial" w:cs="Arial"/>
          <w:color w:val="000000"/>
          <w:sz w:val="22"/>
        </w:rPr>
        <w:t>Pairing uses per-person cumulative reward or mean IER, with n=20 and df=19; it avoids treating autocorrelated daily steps as independent observations. However, the per-person trajectories still share an online learner, so independence is not guaranteed. A single simulator RNG is consumed across users, and policy-dependent draw counts prevent common realized noise from being assumed. Consequently the paired p-values, intervals and effect sizes are reported as exploratory fixed-cohort statistics. They do not establish real-world significance, multi-seed robustness or clinical efficacy. Additional independent rollouts and better-aligned baselines would be needed for those claims.</w:t>
      </w:r>
    </w:p>
    <w:p>
      <w:pPr>
        <w:pStyle w:val="Heading2"/>
        <w:widowControl/>
        <w:spacing w:line="240" w:lineRule="auto"/>
      </w:pPr>
      <w:r>
        <w:rPr>
          <w:rFonts w:ascii="Arial" w:hAnsi="Arial" w:eastAsia="Arial" w:cs="Arial"/>
          <w:b/>
          <w:color w:val="000000"/>
          <w:sz w:val="22"/>
        </w:rPr>
        <w:t>5.3 Policy behavior and posterior observations</w:t>
      </w:r>
    </w:p>
    <w:p>
      <w:pPr>
        <w:widowControl/>
        <w:spacing w:line="240" w:lineRule="auto"/>
      </w:pPr>
      <w:r>
        <w:rPr>
          <w:rFonts w:ascii="Arial" w:hAnsi="Arial"/>
          <w:color w:val="000000"/>
          <w:sz w:val="22"/>
        </w:rPr>
        <w:t>The current SAPS run moves 57 task safety posteriors away from their Beta(1,1) priors. Examples are T065 (97,1), T093 (91,1), T094 (85,1), T092 (82,1). These chosen-task observations verify the feedback hook, not a causal advantage from the bonus. Blocked tasks have no post-hoc S2 observation. SAPS's ungated IER is 0.0223, while normal recommendations retain the output gate. The safety-learning signal and negative infeasible-arm updates act together. Random has higher reward (45.94 versus 42.02), motivating caution about algorithmic superiority in this simulator.</w:t>
      </w:r>
    </w:p>
    <w:p>
      <w:pPr>
        <w:pStyle w:val="Heading2"/>
        <w:widowControl/>
        <w:spacing w:line="240" w:lineRule="auto"/>
      </w:pPr>
      <w:r>
        <w:rPr>
          <w:rFonts w:ascii="Arial" w:hAnsi="Arial" w:eastAsia="Arial" w:cs="Arial"/>
          <w:b/>
          <w:color w:val="000000"/>
          <w:sz w:val="22"/>
        </w:rPr>
        <w:t>5.4 Ablations</w:t>
      </w:r>
    </w:p>
    <w:p>
      <w:pPr>
        <w:pStyle w:val="Heading3"/>
        <w:widowControl/>
        <w:spacing w:line="240" w:lineRule="auto"/>
      </w:pPr>
      <w:r>
        <w:rPr>
          <w:rFonts w:ascii="Arial" w:hAnsi="Arial" w:eastAsia="Arial" w:cs="Arial"/>
          <w:b/>
          <w:color w:val="000000"/>
          <w:sz w:val="22"/>
        </w:rPr>
        <w:t>5.4.1 Neural reference variants</w:t>
      </w:r>
    </w:p>
    <w:p>
      <w:pPr>
        <w:widowControl/>
        <w:spacing w:line="240" w:lineRule="auto"/>
      </w:pPr>
      <w:r>
        <w:rPr>
          <w:rFonts w:ascii="Arial" w:hAnsi="Arial" w:eastAsia="Arial" w:cs="Arial"/>
          <w:color w:val="000000"/>
          <w:sz w:val="22"/>
        </w:rPr>
        <w:t>The retained NeuralUCB variant comparison contrasts a historical shared-context implementation without useful per-arm discrimination and a version with per-arm reward statistics plus a safety warm-start. Formal settings are hidden_dim=32, epochs=5, alpha=0.01, safety_lambda=3.0 and seed=42. The scoring logic and warm-start change together, so this comparison does not isolate a neural representation benefit. Both versions use explicit seeds in the current runner, but cross-machine floating-point identity is not assumed.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872"/>
        <w:gridCol w:w="2160"/>
        <w:gridCol w:w="2592"/>
      </w:tblGrid>
      <w:tr>
        <w:trPr>
          <w:cantSplit/>
          <w:tblHeader/>
        </w:trPr>
        <w:tc>
          <w:tcPr>
            <w:tcW w:type="dxa" w:w="216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Variant</w:t>
            </w:r>
          </w:p>
        </w:tc>
        <w:tc>
          <w:tcPr>
            <w:tcW w:type="dxa" w:w="187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Cum. Reward</w:t>
            </w:r>
          </w:p>
        </w:tc>
        <w:tc>
          <w:tcPr>
            <w:tcW w:type="dxa" w:w="216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IER</w:t>
            </w:r>
          </w:p>
        </w:tc>
        <w:tc>
          <w:tcPr>
            <w:tcW w:type="dxa" w:w="259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Interpretation</w:t>
            </w:r>
          </w:p>
        </w:tc>
      </w:tr>
      <w:tr>
        <w:trPr>
          <w:cantSplit/>
        </w:trPr>
        <w:tc>
          <w:tcPr>
            <w:tcW w:type="dxa" w:w="216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NeuralUCB pre-fix (broken)</w:t>
            </w:r>
          </w:p>
        </w:tc>
        <w:tc>
          <w:tcPr>
            <w:tcW w:type="dxa" w:w="187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46.38</w:t>
            </w:r>
          </w:p>
        </w:tc>
        <w:tc>
          <w:tcPr>
            <w:tcW w:type="dxa" w:w="216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0.408</w:t>
            </w:r>
          </w:p>
        </w:tc>
        <w:tc>
          <w:tcPr>
            <w:tcW w:type="dxa" w:w="259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 Random</w:t>
            </w:r>
          </w:p>
        </w:tc>
      </w:tr>
      <w:tr>
        <w:trPr>
          <w:cantSplit/>
        </w:trPr>
        <w:tc>
          <w:tcPr>
            <w:tcW w:type="dxa" w:w="216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Random baseline</w:t>
            </w:r>
          </w:p>
        </w:tc>
        <w:tc>
          <w:tcPr>
            <w:tcW w:type="dxa" w:w="187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45.94</w:t>
            </w:r>
          </w:p>
        </w:tc>
        <w:tc>
          <w:tcPr>
            <w:tcW w:type="dxa" w:w="216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0.4082</w:t>
            </w:r>
          </w:p>
        </w:tc>
        <w:tc>
          <w:tcPr>
            <w:tcW w:type="dxa" w:w="259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reference</w:t>
            </w:r>
          </w:p>
        </w:tc>
      </w:tr>
      <w:tr>
        <w:trPr>
          <w:cantSplit/>
        </w:trPr>
        <w:tc>
          <w:tcPr>
            <w:tcW w:type="dxa" w:w="216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NeuralUCB post-fix</w:t>
            </w:r>
          </w:p>
        </w:tc>
        <w:tc>
          <w:tcPr>
            <w:tcW w:type="dxa" w:w="1872"/>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38.31</w:t>
            </w:r>
          </w:p>
        </w:tc>
        <w:tc>
          <w:tcPr>
            <w:tcW w:type="dxa" w:w="216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0.0022</w:t>
            </w:r>
          </w:p>
        </w:tc>
        <w:tc>
          <w:tcPr>
            <w:tcW w:type="dxa" w:w="2592"/>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safety-aware per-arm</w:t>
            </w:r>
          </w:p>
        </w:tc>
      </w:tr>
    </w:tbl>
    <w:p>
      <w:pPr>
        <w:widowControl/>
        <w:spacing w:line="240" w:lineRule="auto"/>
      </w:pPr>
      <w:r>
        <w:rPr>
          <w:rFonts w:ascii="Arial" w:hAnsi="Arial" w:eastAsia="Arial" w:cs="Arial"/>
          <w:color w:val="000000"/>
          <w:sz w:val="22"/>
        </w:rPr>
        <w:t>The stored change is reward -8.07 and IER -0.406, with the historical version near Random on recorded IER. This indicates that arm statistics and warm-start alter behavior in this setup. The current neural context term still cancels in ranking, so the comparison cannot support a claim that learned neural context caused improved safety. A stronger neural contextual baseline remains future work.</w:t>
      </w:r>
    </w:p>
    <w:p>
      <w:pPr>
        <w:pStyle w:val="Heading3"/>
        <w:widowControl/>
        <w:spacing w:line="240" w:lineRule="auto"/>
      </w:pPr>
      <w:r>
        <w:rPr>
          <w:rFonts w:ascii="Arial" w:hAnsi="Arial" w:eastAsia="Arial" w:cs="Arial"/>
          <w:b/>
          <w:color w:val="000000"/>
          <w:sz w:val="22"/>
        </w:rPr>
        <w:t>5.4.2 Safety Agent isolation (NoSafety ablation)</w:t>
      </w:r>
    </w:p>
    <w:p>
      <w:pPr>
        <w:widowControl/>
        <w:spacing w:line="240" w:lineRule="auto"/>
      </w:pPr>
      <w:r>
        <w:rPr>
          <w:rFonts w:ascii="Arial" w:hAnsi="Arial"/>
          <w:color w:val="000000"/>
          <w:sz w:val="22"/>
        </w:rPr>
        <w:t>LinUCB-NoSafety disables runtime Safety while retaining the emotional difficulty cap. The new log auditor still checks accepted tasks against all five pre-filter predicates. Dedicated replay in evaluation/nosafety_svr_full.py independently applies those predicates. The formal summary is a per-person mean, whereas the dedicated replay pools accepted tasks.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440"/>
        <w:gridCol w:w="1440"/>
        <w:gridCol w:w="2304"/>
        <w:gridCol w:w="1512"/>
      </w:tblGrid>
      <w:tr>
        <w:trPr>
          <w:cantSplit/>
          <w:tblHeader/>
        </w:trPr>
        <w:tc>
          <w:tcPr>
            <w:tcW w:type="dxa" w:w="216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Variant</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Acceptance</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Reward</w:t>
            </w:r>
          </w:p>
        </w:tc>
        <w:tc>
          <w:tcPr>
            <w:tcW w:type="dxa" w:w="2304"/>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SVR (post-hoc)</w:t>
            </w:r>
          </w:p>
        </w:tc>
        <w:tc>
          <w:tcPr>
            <w:tcW w:type="dxa" w:w="151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Diversity</w:t>
            </w:r>
          </w:p>
        </w:tc>
      </w:tr>
      <w:tr>
        <w:trPr>
          <w:cantSplit/>
        </w:trPr>
        <w:tc>
          <w:tcPr>
            <w:tcW w:type="dxa" w:w="216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LinUCB filter on</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0.619</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41.94</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0.0000 (0/743)</w:t>
            </w:r>
          </w:p>
        </w:tc>
        <w:tc>
          <w:tcPr>
            <w:tcW w:type="dxa" w:w="151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w:t>
            </w:r>
          </w:p>
        </w:tc>
      </w:tr>
      <w:tr>
        <w:trPr>
          <w:cantSplit/>
        </w:trPr>
        <w:tc>
          <w:tcPr>
            <w:tcW w:type="dxa" w:w="216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LinUCB-NoSafety</w:t>
            </w:r>
          </w:p>
        </w:tc>
        <w:tc>
          <w:tcPr>
            <w:tcW w:type="dxa" w:w="144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0.643</w:t>
            </w:r>
          </w:p>
        </w:tc>
        <w:tc>
          <w:tcPr>
            <w:tcW w:type="dxa" w:w="144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42.59</w:t>
            </w:r>
          </w:p>
        </w:tc>
        <w:tc>
          <w:tcPr>
            <w:tcW w:type="dxa" w:w="2304"/>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0.2215 (171/772)</w:t>
            </w:r>
          </w:p>
        </w:tc>
        <w:tc>
          <w:tcPr>
            <w:tcW w:type="dxa" w:w="1512"/>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0.5917</w:t>
            </w:r>
          </w:p>
        </w:tc>
      </w:tr>
    </w:tbl>
    <w:p>
      <w:pPr>
        <w:widowControl/>
        <w:spacing w:line="240" w:lineRule="auto"/>
      </w:pPr>
      <w:r>
        <w:rPr>
          <w:rFonts w:ascii="Arial" w:hAnsi="Arial"/>
          <w:color w:val="000000"/>
          <w:sz w:val="22"/>
        </w:rPr>
        <w:t>NoSafety yields 171 violating accepted tasks out of 772, pooled SVR=0.2215; WithSafety has 0/743. The formal NoSafety per-person mean is 0.2181 because user acceptance counts differ. PF_R2 catches 154, PF_R1 26 and PF_R4 14; PF_R1/PF_R2 overlap on 23, giving 171 unique violations. PF_R3 is masked by the emotional cap and PF_R5 is not exercised by the observed ROM range [83.9,180.0]. Reward changes from 41.94 to 42.59 and acceptance from 0.619 to 0.643. This supports runtime filtering for these simulated predicates, not comprehensive clinical safety. NoSafety IER uses a changed feasible set and is not directly comparable to filter-on IER.</w:t>
      </w:r>
    </w:p>
    <w:p>
      <w:pPr>
        <w:pStyle w:val="Heading2"/>
        <w:widowControl/>
        <w:spacing w:line="240" w:lineRule="auto"/>
      </w:pPr>
      <w:r>
        <w:rPr>
          <w:rFonts w:ascii="Arial" w:hAnsi="Arial" w:eastAsia="Arial" w:cs="Arial"/>
          <w:b/>
          <w:color w:val="000000"/>
          <w:sz w:val="22"/>
        </w:rPr>
        <w:t>5.5 Narrator — invariants + LLM-as-judge</w:t>
      </w:r>
    </w:p>
    <w:p>
      <w:pPr>
        <w:widowControl/>
        <w:spacing w:line="240" w:lineRule="auto"/>
      </w:pPr>
      <w:r>
        <w:rPr>
          <w:rFonts w:ascii="Arial" w:hAnsi="Arial" w:eastAsia="Arial" w:cs="Arial"/>
          <w:color w:val="000000"/>
          <w:sz w:val="22"/>
        </w:rPr>
        <w:t>The 60-day LinUCB run records 2,400 template-render calls: 1,200 speak() calls and 1,200 daily closings. Corrected diagnostic evidence is in narrator_invariants_v2_60day_seed42.json. Required-slot fallback is zero. The difficulty-cap check reports no violations. Closing consistency has TP=88, FP=0, FN=0 and TN=1,112 against the pipeline's logged safety flag. This last result verifies flag-to-template wiring; it is not an independent validation of every pre-filter removal or clinical appropriateness.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2448"/>
        <w:gridCol w:w="4176"/>
        <w:gridCol w:w="1728"/>
      </w:tblGrid>
      <w:tr>
        <w:trPr>
          <w:cantSplit/>
          <w:tblHeader/>
        </w:trPr>
        <w:tc>
          <w:tcPr>
            <w:tcW w:type="dxa" w:w="576"/>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w:t>
            </w:r>
          </w:p>
        </w:tc>
        <w:tc>
          <w:tcPr>
            <w:tcW w:type="dxa" w:w="2448"/>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Invariant</w:t>
            </w:r>
          </w:p>
        </w:tc>
        <w:tc>
          <w:tcPr>
            <w:tcW w:type="dxa" w:w="4176"/>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Measurement</w:t>
            </w:r>
          </w:p>
        </w:tc>
        <w:tc>
          <w:tcPr>
            <w:tcW w:type="dxa" w:w="1728"/>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Verdict</w:t>
            </w:r>
          </w:p>
        </w:tc>
      </w:tr>
      <w:tr>
        <w:trPr>
          <w:cantSplit/>
        </w:trPr>
        <w:tc>
          <w:tcPr>
            <w:tcW w:type="dxa" w:w="576"/>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I1</w:t>
            </w:r>
          </w:p>
        </w:tc>
        <w:tc>
          <w:tcPr>
            <w:tcW w:type="dxa" w:w="244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Zero _REQUIRED_KEYS fallbacks</w:t>
            </w:r>
          </w:p>
        </w:tc>
        <w:tc>
          <w:tcPr>
            <w:tcW w:type="dxa" w:w="4176"/>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fallback_counter == {} on 2,400 calls</w:t>
            </w:r>
          </w:p>
        </w:tc>
        <w:tc>
          <w:tcPr>
            <w:tcW w:type="dxa" w:w="172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PASS (0/2,400)</w:t>
            </w:r>
          </w:p>
        </w:tc>
      </w:tr>
      <w:tr>
        <w:trPr>
          <w:cantSplit/>
        </w:trPr>
        <w:tc>
          <w:tcPr>
            <w:tcW w:type="dxa" w:w="576"/>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I2</w:t>
            </w:r>
          </w:p>
        </w:tc>
        <w:tc>
          <w:tcPr>
            <w:tcW w:type="dxa" w:w="244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Emotional difficulty cap</w:t>
            </w:r>
          </w:p>
        </w:tc>
        <w:tc>
          <w:tcPr>
            <w:tcW w:type="dxa" w:w="4176"/>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No recorded red/yellow cap violations</w:t>
            </w:r>
          </w:p>
        </w:tc>
        <w:tc>
          <w:tcPr>
            <w:tcW w:type="dxa" w:w="172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PASS (0 violations)</w:t>
            </w:r>
          </w:p>
        </w:tc>
      </w:tr>
      <w:tr>
        <w:trPr>
          <w:cantSplit/>
        </w:trPr>
        <w:tc>
          <w:tcPr>
            <w:tcW w:type="dxa" w:w="576"/>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I3</w:t>
            </w:r>
          </w:p>
        </w:tc>
        <w:tc>
          <w:tcPr>
            <w:tcW w:type="dxa" w:w="2448"/>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Logged flag matches safety_followup</w:t>
            </w:r>
          </w:p>
        </w:tc>
        <w:tc>
          <w:tcPr>
            <w:tcW w:type="dxa" w:w="4176"/>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TP=88 FP=0 FN=0 TN=1,112</w:t>
            </w:r>
          </w:p>
        </w:tc>
        <w:tc>
          <w:tcPr>
            <w:tcW w:type="dxa" w:w="1728"/>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PASS (r = 1.000)</w:t>
            </w:r>
          </w:p>
        </w:tc>
      </w:tr>
    </w:tbl>
    <w:p>
      <w:pPr>
        <w:widowControl/>
        <w:spacing w:line="240" w:lineRule="auto"/>
      </w:pPr>
      <w:r>
        <w:rPr>
          <w:rFonts w:ascii="Arial" w:hAnsi="Arial" w:eastAsia="Arial" w:cs="Arial"/>
          <w:color w:val="000000"/>
          <w:sz w:val="22"/>
        </w:rPr>
        <w:t>A stored gpt-4o-mini judge run scores 60 stratified samples on Coherence, Empathy and Clinical Fidelity, requested temperature=0 and seed=42. The run has 0/60 failures and cost $0.0069 for 22,547 prompt and 5,937 completion tokens. Means and 95% CI half-widths are 4.82 +/- 0.11, 4.15 +/- 0.14 and 4.72 +/- 0.15. These descriptive intervals concern a fixed, template-heavy sample, not an independent patient population. Raw samples, scores and aggregation inputs remain committed. Later remote calls are not guaranteed identical; offline aggregation of the stored scores is reproducible.</w:t>
      </w:r>
    </w:p>
    <w:p>
      <w:pPr>
        <w:pStyle w:val="Heading1"/>
        <w:widowControl/>
        <w:spacing w:line="240" w:lineRule="auto"/>
      </w:pPr>
      <w:r>
        <w:rPr>
          <w:rFonts w:ascii="Arial" w:hAnsi="Arial" w:eastAsia="Arial" w:cs="Arial"/>
          <w:b/>
          <w:color w:val="000000"/>
          <w:sz w:val="22"/>
        </w:rPr>
        <w:t>6. Discussion</w:t>
      </w:r>
    </w:p>
    <w:p>
      <w:pPr>
        <w:pStyle w:val="Heading2"/>
        <w:widowControl/>
        <w:spacing w:line="240" w:lineRule="auto"/>
      </w:pPr>
      <w:r>
        <w:rPr>
          <w:rFonts w:ascii="Arial" w:hAnsi="Arial" w:eastAsia="Arial" w:cs="Arial"/>
          <w:b/>
          <w:color w:val="000000"/>
          <w:sz w:val="22"/>
        </w:rPr>
        <w:t>6.1 What the numbers say — and what they do not</w:t>
      </w:r>
    </w:p>
    <w:p>
      <w:pPr>
        <w:widowControl/>
        <w:spacing w:line="240" w:lineRule="auto"/>
      </w:pPr>
      <w:r>
        <w:rPr>
          <w:rFonts w:ascii="Arial" w:hAnsi="Arial"/>
          <w:color w:val="000000"/>
          <w:sz w:val="22"/>
        </w:rPr>
        <w:t>The practical contribution is a reference workflow for research and engineering teams developing rehabilitation recommenders. A reviewer can examine whether task restrictions act before selection, whether the learner still proposes infeasible tasks, and how an exercise becomes a patient-facing explanation and daily closing. The separation gives developers specific places to investigate candidate coverage, policy behavior and narrative rendering. NoSafety replay supports the runtime rule layer, while paired results do not establish a SAPS advantage over LinUCB. The output gate still restricts delivered recommendations, so low execution SVR alone would hide proposal failures. This architecture and its diagnostics offer a concrete starting point for adaptation and testing with an approved task catalogue and locally defined constraints.</w:t>
      </w:r>
    </w:p>
    <w:p>
      <w:pPr>
        <w:pStyle w:val="Heading2"/>
        <w:widowControl/>
        <w:spacing w:line="240" w:lineRule="auto"/>
      </w:pPr>
      <w:r>
        <w:rPr>
          <w:rFonts w:ascii="Arial" w:hAnsi="Arial" w:eastAsia="Arial" w:cs="Arial"/>
          <w:b/>
          <w:color w:val="000000"/>
          <w:sz w:val="22"/>
        </w:rPr>
        <w:t>6.2 Why Random remains competitive</w:t>
      </w:r>
    </w:p>
    <w:p>
      <w:pPr>
        <w:widowControl/>
        <w:spacing w:line="240" w:lineRule="auto"/>
      </w:pPr>
      <w:r>
        <w:rPr>
          <w:rFonts w:ascii="Arial" w:hAnsi="Arial"/>
          <w:color w:val="000000"/>
          <w:sz w:val="22"/>
        </w:rPr>
        <w:t>Random records higher reward than SAPS (45.94 versus 42.02), but also higher ungated IER (0.4082 versus 0.0223). The shared filter keeps both policies' accepted tasks feasible in this cohort. Random plus Safety therefore remains a credible simple comparator; our results do not establish that replacing it with SAPS improves patient outcomes or operating cost. IER makes a different question visible: how often would a policy propose tasks outside the feasible set before filtering? Evaluating that alongside reward and accepted-task SVR helps teams distinguish a policy that fits the current constraints from one whose feasible output depends heavily on the filter. Lower IER alone does not quantify clinician workload savings.</w:t>
      </w:r>
    </w:p>
    <w:p>
      <w:pPr>
        <w:pStyle w:val="Heading2"/>
        <w:widowControl/>
        <w:spacing w:line="240" w:lineRule="auto"/>
      </w:pPr>
      <w:r>
        <w:rPr>
          <w:rFonts w:ascii="Arial" w:hAnsi="Arial" w:eastAsia="Arial" w:cs="Arial"/>
          <w:b/>
          <w:color w:val="000000"/>
          <w:sz w:val="22"/>
        </w:rPr>
        <w:t>6.3 Threats to validity</w:t>
      </w:r>
    </w:p>
    <w:p>
      <w:pPr>
        <w:widowControl/>
        <w:spacing w:line="240" w:lineRule="auto"/>
      </w:pPr>
      <w:r>
        <w:rPr>
          <w:rFonts w:ascii="Arial" w:hAnsi="Arial" w:eastAsia="Arial" w:cs="Arial"/>
          <w:color w:val="000000"/>
          <w:sz w:val="22"/>
        </w:rPr>
        <w:t>Simulator validity is limited by hand-authored personas, utility coefficients, simplified outcomes and the completed-counter issue described in Section 4.2. One shared learner and sequential RNG create dependence and unequal realized noise across policy runs. Safety coverage is limited to executed predicates; PF_R3 is masked and PF_R5 unexercised in the main distribution. The Narrator receives long condition names that do not match the ACL/RotatorCuff/BackPain arc keys, so profiles fall back to ACL; day0 resolves to act3, producing act3 -&gt; act1 -&gt; act2 -&gt; act3 in the default trace. Its closing safety flag is IER-derived, not a count of all removed candidates. These are retained implementation limitations. Narrative quality is judged by one external model on repeated templates, without a clinician panel or user study. No clinical effectiveness, complete guideline enforcement or real-world adherence improvement is established.</w:t>
      </w:r>
    </w:p>
    <w:p>
      <w:pPr>
        <w:pStyle w:val="Heading2"/>
        <w:widowControl/>
        <w:spacing w:line="240" w:lineRule="auto"/>
      </w:pPr>
      <w:r>
        <w:rPr>
          <w:rFonts w:ascii="Arial" w:hAnsi="Arial" w:eastAsia="Arial" w:cs="Arial"/>
          <w:b/>
          <w:color w:val="000000"/>
          <w:sz w:val="22"/>
        </w:rPr>
        <w:t>6.4 Design implications</w:t>
      </w:r>
    </w:p>
    <w:p>
      <w:pPr>
        <w:widowControl/>
        <w:spacing w:line="240" w:lineRule="auto"/>
      </w:pPr>
      <w:r>
        <w:rPr>
          <w:rFonts w:ascii="Arial" w:hAnsi="Arial"/>
          <w:color w:val="000000"/>
          <w:sz w:val="22"/>
        </w:rPr>
        <w:t>The prototype separates feasibility filtering, reward estimation, post-hoc pain feedback and narrative presentation. Ungated IER now exposes infeasible proposals before SAPS's output gate, while accepted-task SVR measures execution under the five runtime predicates. Because the raw proposal set also drives negative updates, its repair changes policy behavior. The next experiments should isolate Beta and penalty contributions. Template rendering supports an offline demo, but tone adaptation alone does not establish empathy or clinical benefit.</w:t>
      </w:r>
    </w:p>
    <w:p>
      <w:pPr>
        <w:pStyle w:val="Heading1"/>
        <w:widowControl/>
        <w:spacing w:line="240" w:lineRule="auto"/>
      </w:pPr>
      <w:r>
        <w:rPr>
          <w:rFonts w:ascii="Arial" w:hAnsi="Arial" w:eastAsia="Arial" w:cs="Arial"/>
          <w:b/>
          <w:color w:val="000000"/>
          <w:sz w:val="22"/>
        </w:rPr>
        <w:t>7. System Demonstration and Additional Evaluation</w:t>
      </w:r>
    </w:p>
    <w:p>
      <w:pPr>
        <w:pStyle w:val="Heading2"/>
        <w:widowControl/>
        <w:spacing w:line="240" w:lineRule="auto"/>
      </w:pPr>
      <w:r>
        <w:rPr>
          <w:rFonts w:ascii="Arial" w:hAnsi="Arial" w:eastAsia="Arial" w:cs="Arial"/>
          <w:b/>
          <w:color w:val="000000"/>
          <w:sz w:val="22"/>
        </w:rPr>
        <w:t>7.1 System demonstration</w:t>
      </w:r>
    </w:p>
    <w:p>
      <w:pPr>
        <w:widowControl/>
        <w:spacing w:line="240" w:lineRule="auto"/>
      </w:pPr>
      <w:r>
        <w:rPr>
          <w:rFonts w:ascii="Arial" w:hAnsi="Arial"/>
          <w:color w:val="000000"/>
          <w:sz w:val="22"/>
        </w:rPr>
        <w:t>The demo serves as an offline design-review and communication prototype. A rehabilitation-technology team, researcher or assessor can inspect how a synthetic day's symptoms lead to filtering, a task proposal, narrator wording, simulated response and reward. The HTML trail turns that sequence into a patient-journey walkthrough for discussing understandable guidance and responses to soreness, fatigue or skipping. Its reply buttons alter presentation only; they do not personalize treatment or recompute the recorded outcome. The CLI executes the backend and provides reproducible evidence behind the visual replay. For a patient-facing extension, approved exercises, validated constraints, actual patient-state input and clinical/user evaluation would be required.</w:t>
        <w:br/>
        <w:br/>
        <w:t>The README contains Run the demonstration. Install with python -m pip install -r requirements.txt, then run python -m narracare.demo --user U001 --days 60 --policy saps --seed 42. From the archive, tar xzf narracare_submission.tar.gz and cd narracare_final. Daily tags expose state, filtering counts, proposal score, post-check result, original narrator text/tone, simulated choice, reward and closing. The summary reports reward, five-rule SVR, ungated IER and actual act progression. No API key or network is needed after installation. Use --inspect for source/config/data definitions. Use --user U001 --days 7 --compare saps,linucb,neuralucb for live traces followed by a separately labelled stored 20-persona/60-day table; missing fields remain N/A. Open demo/index.html for nine offline recorded trajectories across three users and three policies. Regeneration uses reproduce_all.sh and reproduce_coldstart.sh; inspect comparison summaries, not exit codes alone.</w:t>
      </w:r>
    </w:p>
    <w:p>
      <w:pPr>
        <w:pStyle w:val="Heading2"/>
        <w:widowControl/>
        <w:spacing w:line="240" w:lineRule="auto"/>
      </w:pPr>
      <w:r>
        <w:rPr>
          <w:rFonts w:ascii="Arial" w:hAnsi="Arial" w:eastAsia="Arial" w:cs="Arial"/>
          <w:b/>
          <w:color w:val="000000"/>
          <w:sz w:val="22"/>
        </w:rPr>
        <w:t>7.2 Robustness grid — perturbing the rule base</w:t>
      </w:r>
    </w:p>
    <w:p>
      <w:pPr>
        <w:widowControl/>
        <w:spacing w:line="240" w:lineRule="auto"/>
      </w:pPr>
      <w:r>
        <w:rPr>
          <w:rFonts w:ascii="Arial" w:hAnsi="Arial" w:eastAsia="Arial" w:cs="Arial"/>
          <w:color w:val="000000"/>
          <w:sz w:val="22"/>
        </w:rPr>
        <w:t>The one-drop grid removes one runtime pre-filter at a time, using LinUCB as the reference. Baseline IER=0.0233, SVR=0.0000 and reward=41.94. This tests local rule removal under the simulator and emotional cap, not all combinations or clinical rule completeness.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440"/>
        <w:gridCol w:w="1440"/>
        <w:gridCol w:w="2304"/>
        <w:gridCol w:w="1512"/>
      </w:tblGrid>
      <w:tr>
        <w:trPr>
          <w:cantSplit/>
          <w:tblHeader/>
        </w:trPr>
        <w:tc>
          <w:tcPr>
            <w:tcW w:type="dxa" w:w="216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Drop</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IER</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SVR</w:t>
            </w:r>
          </w:p>
        </w:tc>
        <w:tc>
          <w:tcPr>
            <w:tcW w:type="dxa" w:w="2304"/>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Reward</w:t>
            </w:r>
          </w:p>
        </w:tc>
        <w:tc>
          <w:tcPr>
            <w:tcW w:type="dxa" w:w="151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t>Solo hits</w:t>
            </w:r>
          </w:p>
        </w:tc>
      </w:tr>
      <w:tr>
        <w:trPr>
          <w:cantSplit/>
        </w:trPr>
        <w:tc>
          <w:tcPr>
            <w:tcW w:type="dxa" w:w="216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None</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0.0233</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0.0000</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41.94</w:t>
            </w:r>
          </w:p>
        </w:tc>
        <w:tc>
          <w:tcPr>
            <w:tcW w:type="dxa" w:w="151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w:t>
            </w:r>
          </w:p>
        </w:tc>
      </w:tr>
      <w:tr>
        <w:trPr>
          <w:cantSplit/>
        </w:trPr>
        <w:tc>
          <w:tcPr>
            <w:tcW w:type="dxa" w:w="216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PF_R1</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0.0233</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0.0000</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41.94</w:t>
            </w:r>
          </w:p>
        </w:tc>
        <w:tc>
          <w:tcPr>
            <w:tcW w:type="dxa" w:w="151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3</w:t>
            </w:r>
          </w:p>
        </w:tc>
      </w:tr>
      <w:tr>
        <w:trPr>
          <w:cantSplit/>
        </w:trPr>
        <w:tc>
          <w:tcPr>
            <w:tcW w:type="dxa" w:w="216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PF_R2</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0.0180</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0.1596</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42.82</w:t>
            </w:r>
          </w:p>
        </w:tc>
        <w:tc>
          <w:tcPr>
            <w:tcW w:type="dxa" w:w="151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131</w:t>
            </w:r>
          </w:p>
        </w:tc>
      </w:tr>
      <w:tr>
        <w:trPr>
          <w:cantSplit/>
        </w:trPr>
        <w:tc>
          <w:tcPr>
            <w:tcW w:type="dxa" w:w="216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PF_R3</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0.0233</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0.0000</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41.94</w:t>
            </w:r>
          </w:p>
        </w:tc>
        <w:tc>
          <w:tcPr>
            <w:tcW w:type="dxa" w:w="151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w:t>
            </w:r>
          </w:p>
        </w:tc>
      </w:tr>
      <w:tr>
        <w:trPr>
          <w:cantSplit/>
        </w:trPr>
        <w:tc>
          <w:tcPr>
            <w:tcW w:type="dxa" w:w="216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PF_R4</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0.0215</w:t>
            </w:r>
          </w:p>
        </w:tc>
        <w:tc>
          <w:tcPr>
            <w:tcW w:type="dxa" w:w="1440"/>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0.0153</w:t>
            </w:r>
          </w:p>
        </w:tc>
        <w:tc>
          <w:tcPr>
            <w:tcW w:type="dxa" w:w="230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41.72</w:t>
            </w:r>
          </w:p>
        </w:tc>
        <w:tc>
          <w:tcPr>
            <w:tcW w:type="dxa" w:w="1512"/>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14</w:t>
            </w:r>
          </w:p>
        </w:tc>
      </w:tr>
      <w:tr>
        <w:trPr>
          <w:cantSplit/>
        </w:trPr>
        <w:tc>
          <w:tcPr>
            <w:tcW w:type="dxa" w:w="2160"/>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PF_R5</w:t>
            </w:r>
          </w:p>
        </w:tc>
        <w:tc>
          <w:tcPr>
            <w:tcW w:type="dxa" w:w="1440"/>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0.0233</w:t>
            </w:r>
          </w:p>
        </w:tc>
        <w:tc>
          <w:tcPr>
            <w:tcW w:type="dxa" w:w="1440"/>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0.0000</w:t>
            </w:r>
          </w:p>
        </w:tc>
        <w:tc>
          <w:tcPr>
            <w:tcW w:type="dxa" w:w="2304"/>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41.94</w:t>
            </w:r>
          </w:p>
        </w:tc>
        <w:tc>
          <w:tcPr>
            <w:tcW w:type="dxa" w:w="1512"/>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0</w:t>
            </w:r>
          </w:p>
        </w:tc>
      </w:tr>
    </w:tbl>
    <w:p>
      <w:pPr>
        <w:widowControl/>
        <w:spacing w:line="240" w:lineRule="auto"/>
      </w:pPr>
      <w:r>
        <w:rPr>
          <w:rFonts w:ascii="Arial" w:hAnsi="Arial" w:eastAsia="Arial" w:cs="Arial"/>
          <w:color w:val="000000"/>
          <w:sz w:val="22"/>
        </w:rPr>
        <w:t>Dropping PF_R2 changes SVR to 0.1596 (p&lt;.001), and dropping PF_R4 changes it to 0.0153 (p=.002). Reward changes are +0.88 (p=.16) and -0.21 (p=.67); IER changes have p=.16 and .45 respectively. Unchanged or constant series may have undefined t-tests; they must not be treated as evidence of equivalence. PF_R1's three solo hits in the unrestricted replay need not imply a measurable effect in this separate adaptive one-drop rollout. The grid is distribution-specific evidence, not proof that the rule chain has no coupling bugs.</w:t>
      </w:r>
    </w:p>
    <w:p>
      <w:pPr>
        <w:pStyle w:val="Heading3"/>
        <w:widowControl/>
        <w:spacing w:line="240" w:lineRule="auto"/>
      </w:pPr>
      <w:r>
        <w:rPr>
          <w:rFonts w:ascii="Arial" w:hAnsi="Arial" w:eastAsia="Arial" w:cs="Arial"/>
          <w:b/>
          <w:color w:val="000000"/>
          <w:sz w:val="22"/>
        </w:rPr>
        <w:t>7.2.1 What the grid reveals</w:t>
      </w:r>
    </w:p>
    <w:p>
      <w:pPr>
        <w:widowControl/>
        <w:spacing w:line="240" w:lineRule="auto"/>
      </w:pPr>
      <w:r>
        <w:rPr>
          <w:rFonts w:ascii="Arial" w:hAnsi="Arial" w:eastAsia="Arial" w:cs="Arial"/>
          <w:color w:val="000000"/>
          <w:sz w:val="22"/>
        </w:rPr>
        <w:t>PF_R3 requires pain&gt;=7 and difficulty&gt;=4, but the emotional difficulty cap prevents this combination in the evaluated accepted stream. PF_R5 requires ROM&lt;60, whereas the observed simulated range is [83.9,180.0]. Zero effects therefore reflect masking or lack of coverage, not dispensability. PF_R1 has 26 NoSafety catches, 23 overlapping PF_R2, leaving three solo catches; PF_R2 has 131 solo catches and PF_R4 14. A more severe cohort and direct boundary tests would be needed to assess dormant conditions comprehensively.</w:t>
      </w:r>
    </w:p>
    <w:p>
      <w:pPr>
        <w:pStyle w:val="Heading2"/>
        <w:widowControl/>
        <w:spacing w:line="240" w:lineRule="auto"/>
      </w:pPr>
      <w:r>
        <w:rPr>
          <w:rFonts w:ascii="Arial" w:hAnsi="Arial" w:eastAsia="Arial" w:cs="Arial"/>
          <w:b/>
          <w:color w:val="000000"/>
          <w:sz w:val="22"/>
        </w:rPr>
        <w:t>7.3 Narrative evaluation — LLM-as-judge, executed results</w:t>
      </w:r>
    </w:p>
    <w:p>
      <w:pPr>
        <w:widowControl/>
        <w:spacing w:line="240" w:lineRule="auto"/>
      </w:pPr>
      <w:r>
        <w:rPr>
          <w:rFonts w:ascii="Arial" w:hAnsi="Arial" w:eastAsia="Arial" w:cs="Arial"/>
          <w:color w:val="000000"/>
          <w:sz w:val="22"/>
        </w:rPr>
        <w:t>The 60 samples are stratified into five groups of 12: speak:doctor, speak:coach, speak:companion, speak:yellow-mixed and closing:safety_followup. Table 7.2 reports the stored group means. These descriptive ratings complement the template-slot and closing-flag checks; they are not clinical validation.</w:t>
      </w:r>
    </w:p>
    <w:p>
      <w:pPr>
        <w:keepNext/>
        <w:widowControl/>
        <w:spacing w:line="240" w:lineRule="auto"/>
      </w:pPr>
      <w:r>
        <w:rPr>
          <w:rFonts w:ascii="Arial" w:hAnsi="Arial" w:eastAsia="Arial" w:cs="Arial"/>
          <w:color w:val="000000"/>
          <w:sz w:val="22"/>
        </w:rPr>
        <w:t>Table 7.2 Recorded narrative group means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440"/>
        <w:gridCol w:w="1440"/>
        <w:gridCol w:w="1440"/>
        <w:gridCol w:w="2448"/>
      </w:tblGrid>
      <w:tr>
        <w:trPr>
          <w:cantSplit/>
          <w:tblHeader/>
        </w:trPr>
        <w:tc>
          <w:tcPr>
            <w:tcW w:type="dxa" w:w="2088"/>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Stream : label</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Coherence</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Empathy</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Clinical</w:t>
            </w:r>
          </w:p>
        </w:tc>
        <w:tc>
          <w:tcPr>
            <w:tcW w:type="dxa" w:w="2448"/>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Reading</w:t>
            </w:r>
          </w:p>
        </w:tc>
      </w:tr>
      <w:tr>
        <w:trPr>
          <w:cantSplit/>
        </w:trPr>
        <w:tc>
          <w:tcPr>
            <w:tcW w:type="dxa" w:w="208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closing:</w:t>
              <w:br/>
              <w:t>safety_followup</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5.00</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5.00</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5.00</w:t>
            </w:r>
          </w:p>
        </w:tc>
        <w:tc>
          <w:tcPr>
            <w:tcW w:type="dxa" w:w="244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Closing flag wiring</w:t>
            </w:r>
          </w:p>
        </w:tc>
      </w:tr>
      <w:tr>
        <w:trPr>
          <w:cantSplit/>
        </w:trPr>
        <w:tc>
          <w:tcPr>
            <w:tcW w:type="dxa" w:w="208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speak:doctor</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4.92</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4.00</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4.92</w:t>
            </w:r>
          </w:p>
        </w:tc>
        <w:tc>
          <w:tcPr>
            <w:tcW w:type="dxa" w:w="244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Descriptive rating</w:t>
            </w:r>
          </w:p>
        </w:tc>
      </w:tr>
      <w:tr>
        <w:trPr>
          <w:cantSplit/>
        </w:trPr>
        <w:tc>
          <w:tcPr>
            <w:tcW w:type="dxa" w:w="208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speak:coach</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4.83</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4.00</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4.75</w:t>
            </w:r>
          </w:p>
        </w:tc>
        <w:tc>
          <w:tcPr>
            <w:tcW w:type="dxa" w:w="244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Repeated wording</w:t>
            </w:r>
          </w:p>
        </w:tc>
      </w:tr>
      <w:tr>
        <w:trPr>
          <w:cantSplit/>
        </w:trPr>
        <w:tc>
          <w:tcPr>
            <w:tcW w:type="dxa" w:w="2088"/>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speak:companion</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4.75</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4.00</w:t>
            </w:r>
          </w:p>
        </w:tc>
        <w:tc>
          <w:tcPr>
            <w:tcW w:type="dxa" w:w="1440"/>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4.42</w:t>
            </w:r>
          </w:p>
        </w:tc>
        <w:tc>
          <w:tcPr>
            <w:tcW w:type="dxa" w:w="2448"/>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Repeated wording</w:t>
            </w:r>
          </w:p>
        </w:tc>
      </w:tr>
      <w:tr>
        <w:trPr>
          <w:cantSplit/>
        </w:trPr>
        <w:tc>
          <w:tcPr>
            <w:tcW w:type="dxa" w:w="2088"/>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speak:yellow-mixed</w:t>
            </w:r>
          </w:p>
        </w:tc>
        <w:tc>
          <w:tcPr>
            <w:tcW w:type="dxa" w:w="144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4.58</w:t>
            </w:r>
          </w:p>
        </w:tc>
        <w:tc>
          <w:tcPr>
            <w:tcW w:type="dxa" w:w="144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3.75</w:t>
            </w:r>
          </w:p>
        </w:tc>
        <w:tc>
          <w:tcPr>
            <w:tcW w:type="dxa" w:w="1440"/>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4.50</w:t>
            </w:r>
          </w:p>
        </w:tc>
        <w:tc>
          <w:tcPr>
            <w:tcW w:type="dxa" w:w="2448"/>
            <w:vAlign w:val="center"/>
            <w:shd w:fill="FFFFFF"/>
            <w:tcMar>
              <w:top w:w="55" w:type="dxa"/>
              <w:bottom w:w="55" w:type="dxa"/>
              <w:left w:w="65" w:type="dxa"/>
              <w:right w:w="65" w:type="dxa"/>
            </w:tcMar>
          </w:tcPr>
          <w:p>
            <w:pPr>
              <w:keepNext w:val="0"/>
              <w:spacing w:before="0" w:after="0" w:line="240" w:lineRule="auto"/>
            </w:pPr>
            <w:r>
              <w:rPr>
                <w:rFonts w:ascii="Arial" w:hAnsi="Arial"/>
                <w:b w:val="0"/>
                <w:color w:val="000000"/>
                <w:sz w:val="18"/>
              </w:rPr>
              <w:t>Lowest empathy</w:t>
            </w:r>
          </w:p>
        </w:tc>
      </w:tr>
    </w:tbl>
    <w:p>
      <w:pPr>
        <w:pStyle w:val="Heading3"/>
        <w:widowControl/>
        <w:spacing w:line="240" w:lineRule="auto"/>
      </w:pPr>
      <w:r>
        <w:rPr>
          <w:rFonts w:ascii="Arial" w:hAnsi="Arial" w:eastAsia="Arial" w:cs="Arial"/>
          <w:b/>
          <w:color w:val="000000"/>
          <w:sz w:val="22"/>
        </w:rPr>
        <w:t>7.3.1 Why empathy scores 4.15 — template audit</w:t>
      </w:r>
    </w:p>
    <w:p>
      <w:pPr>
        <w:widowControl/>
        <w:spacing w:line="240" w:lineRule="auto"/>
      </w:pPr>
      <w:r>
        <w:rPr>
          <w:rFonts w:ascii="Arial" w:hAnsi="Arial" w:eastAsia="Arial" w:cs="Arial"/>
          <w:color w:val="000000"/>
          <w:sz w:val="22"/>
        </w:rPr>
        <w:t>All twelve speak:coach samples repeat a scaffold beginning Today's challenge, varying mainly task and difficulty. Pain ranges from 0.0 to 4.6 and fatigue from 0.0 to 5.9 in those samples, but the body text remains largely fixed. This explains why tone selection can react to state while wording still receives modest empathy ratings. More state-specific templates and human review would be useful, but changing templates would create a new evaluation version; the present scores remain attached to the committed texts.</w:t>
      </w:r>
    </w:p>
    <w:p>
      <w:pPr>
        <w:pStyle w:val="Heading2"/>
        <w:widowControl/>
        <w:spacing w:line="240" w:lineRule="auto"/>
      </w:pPr>
      <w:r>
        <w:rPr>
          <w:rFonts w:ascii="Arial" w:hAnsi="Arial" w:eastAsia="Arial" w:cs="Arial"/>
          <w:b/>
          <w:color w:val="000000"/>
          <w:sz w:val="22"/>
        </w:rPr>
        <w:t>7.4 Cold-start on an unseen condition</w:t>
      </w:r>
    </w:p>
    <w:p>
      <w:pPr>
        <w:widowControl/>
        <w:spacing w:line="240" w:lineRule="auto"/>
      </w:pPr>
      <w:r>
        <w:rPr>
          <w:rFonts w:ascii="Arial" w:hAnsi="Arial"/>
          <w:color w:val="000000"/>
          <w:sz w:val="22"/>
        </w:rPr>
        <w:t>Training uses ACL/RC users U001-U010 and U016-U020 (n=15); rollout uses BP users U011-U015 (n=5). In the runner's Frozen SAPS variant, reward-model updates stop but Beta safety updates continue. Retrained starts fresh on BP with online updates. Table 7.3 reports regenerated results for the repaired path and retains this reward-frozen, safety-adaptive qualification.</w:t>
      </w:r>
    </w:p>
    <w:p>
      <w:pPr>
        <w:keepNext/>
        <w:widowControl/>
        <w:spacing w:line="240" w:lineRule="auto"/>
      </w:pPr>
      <w:r>
        <w:rPr>
          <w:rFonts w:ascii="Arial" w:hAnsi="Arial" w:eastAsia="Arial" w:cs="Arial"/>
          <w:color w:val="000000"/>
          <w:sz w:val="22"/>
        </w:rPr>
        <w:t>Table 7.3 Cold start results with the reward frozen qualification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1440"/>
        <w:gridCol w:w="1152"/>
        <w:gridCol w:w="2592"/>
      </w:tblGrid>
      <w:tr>
        <w:trPr>
          <w:cantSplit/>
          <w:tblHeader/>
        </w:trPr>
        <w:tc>
          <w:tcPr>
            <w:tcW w:type="dxa" w:w="3744"/>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Policy / Variant</w:t>
            </w:r>
          </w:p>
        </w:tc>
        <w:tc>
          <w:tcPr>
            <w:tcW w:type="dxa" w:w="1440"/>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Reward</w:t>
            </w:r>
          </w:p>
        </w:tc>
        <w:tc>
          <w:tcPr>
            <w:tcW w:type="dxa" w:w="115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IER</w:t>
            </w:r>
          </w:p>
        </w:tc>
        <w:tc>
          <w:tcPr>
            <w:tcW w:type="dxa" w:w="2592"/>
            <w:vAlign w:val="center"/>
            <w:shd w:fill="E8EDF2"/>
            <w:tcMar>
              <w:top w:w="55" w:type="dxa"/>
              <w:bottom w:w="55" w:type="dxa"/>
              <w:left w:w="65" w:type="dxa"/>
              <w:right w:w="65" w:type="dxa"/>
            </w:tcMar>
          </w:tcPr>
          <w:p>
            <w:pPr>
              <w:keepNext/>
              <w:spacing w:before="0" w:after="0" w:line="240" w:lineRule="auto"/>
            </w:pPr>
            <w:r>
              <w:rPr>
                <w:rFonts w:ascii="Arial" w:hAnsi="Arial"/>
                <w:b/>
                <w:color w:val="000000"/>
                <w:sz w:val="18"/>
              </w:rPr>
            </w:r>
            <w:r>
              <w:rPr>
                <w:rFonts w:ascii="Arial" w:hAnsi="Arial"/>
                <w:b/>
                <w:color w:val="000000"/>
                <w:sz w:val="18"/>
              </w:rPr>
              <w:t>Reading</w:t>
            </w:r>
          </w:p>
        </w:tc>
      </w:tr>
      <w:tr>
        <w:trPr>
          <w:cantSplit/>
        </w:trPr>
        <w:tc>
          <w:tcPr>
            <w:tcW w:type="dxa" w:w="3744"/>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SAPS Train (ACL+RC)</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41.55</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0.0267</w:t>
            </w:r>
          </w:p>
        </w:tc>
        <w:tc>
          <w:tcPr>
            <w:tcW w:type="dxa" w:w="259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reference</w:t>
            </w:r>
          </w:p>
        </w:tc>
      </w:tr>
      <w:tr>
        <w:trPr>
          <w:cantSplit/>
        </w:trPr>
        <w:tc>
          <w:tcPr>
            <w:tcW w:type="dxa" w:w="374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SAPS reward-frozen on BP</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42.01</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0.0080</w:t>
            </w:r>
          </w:p>
        </w:tc>
        <w:tc>
          <w:tcPr>
            <w:tcW w:type="dxa" w:w="259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Δ=+0.46 vs train</w:t>
            </w:r>
          </w:p>
        </w:tc>
      </w:tr>
      <w:tr>
        <w:trPr>
          <w:cantSplit/>
        </w:trPr>
        <w:tc>
          <w:tcPr>
            <w:tcW w:type="dxa" w:w="3744"/>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SAPS Retrained on BP</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43.35</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0.0627</w:t>
            </w:r>
          </w:p>
        </w:tc>
        <w:tc>
          <w:tcPr>
            <w:tcW w:type="dxa" w:w="259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Δ=+1.80 vs train</w:t>
            </w:r>
          </w:p>
        </w:tc>
      </w:tr>
      <w:tr>
        <w:trPr>
          <w:cantSplit/>
        </w:trPr>
        <w:tc>
          <w:tcPr>
            <w:tcW w:type="dxa" w:w="3744"/>
            <w:vAlign w:val="center"/>
            <w:shd w:fill="FFFFFF"/>
            <w:tcMar>
              <w:top w:w="55" w:type="dxa"/>
              <w:bottom w:w="55" w:type="dxa"/>
              <w:left w:w="65" w:type="dxa"/>
              <w:right w:w="65" w:type="dxa"/>
            </w:tcMar>
          </w:tcPr>
          <w:p>
            <w:pPr>
              <w:keepNext/>
              <w:spacing w:before="0" w:after="0" w:line="240" w:lineRule="auto"/>
            </w:pPr>
            <w:r>
              <w:rPr>
                <w:rFonts w:ascii="Arial" w:hAnsi="Arial"/>
                <w:b w:val="0"/>
                <w:color w:val="000000"/>
                <w:sz w:val="18"/>
              </w:rPr>
              <w:t>SAPS Frozen vs Retrained (paired t)</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Δ=-1.34</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p=0.0350</w:t>
            </w:r>
          </w:p>
        </w:tc>
        <w:tc>
          <w:tcPr>
            <w:tcW w:type="dxa" w:w="259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n=5; exploratory</w:t>
            </w:r>
          </w:p>
        </w:tc>
      </w:tr>
      <w:tr>
        <w:trPr>
          <w:cantSplit/>
        </w:trPr>
        <w:tc>
          <w:tcPr>
            <w:tcW w:type="dxa" w:w="3744"/>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LinUCB Train</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41.14</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0.0273</w:t>
            </w:r>
          </w:p>
        </w:tc>
        <w:tc>
          <w:tcPr>
            <w:tcW w:type="dxa" w:w="259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reference</w:t>
            </w:r>
          </w:p>
        </w:tc>
      </w:tr>
      <w:tr>
        <w:trPr>
          <w:cantSplit/>
        </w:trPr>
        <w:tc>
          <w:tcPr>
            <w:tcW w:type="dxa" w:w="3744"/>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LinUCB Frozen on BP</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41.90</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0.0213</w:t>
            </w:r>
          </w:p>
        </w:tc>
        <w:tc>
          <w:tcPr>
            <w:tcW w:type="dxa" w:w="2592"/>
            <w:vAlign w:val="center"/>
            <w:shd w:fill="FFFFFF"/>
            <w:tcMar>
              <w:top w:w="55" w:type="dxa"/>
              <w:bottom w:w="55" w:type="dxa"/>
              <w:left w:w="65" w:type="dxa"/>
              <w:right w:w="65" w:type="dxa"/>
            </w:tcMar>
          </w:tcPr>
          <w:p>
            <w:pPr>
              <w:keepNext/>
              <w:spacing w:after="0" w:before="0" w:line="240" w:lineRule="auto"/>
            </w:pPr>
            <w:r>
              <w:rPr>
                <w:rFonts w:ascii="Arial" w:hAnsi="Arial"/>
                <w:b w:val="0"/>
                <w:color w:val="000000"/>
                <w:sz w:val="18"/>
              </w:rPr>
            </w:r>
            <w:r>
              <w:rPr>
                <w:rFonts w:ascii="Arial" w:hAnsi="Arial"/>
                <w:b w:val="0"/>
                <w:color w:val="000000"/>
                <w:sz w:val="18"/>
              </w:rPr>
              <w:t>Δ=+0.76</w:t>
            </w:r>
          </w:p>
        </w:tc>
      </w:tr>
      <w:tr>
        <w:trPr>
          <w:cantSplit/>
        </w:trPr>
        <w:tc>
          <w:tcPr>
            <w:tcW w:type="dxa" w:w="3744"/>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LinUCB Retrained on BP</w:t>
            </w:r>
          </w:p>
        </w:tc>
        <w:tc>
          <w:tcPr>
            <w:tcW w:type="dxa" w:w="1440"/>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43.22</w:t>
            </w:r>
          </w:p>
        </w:tc>
        <w:tc>
          <w:tcPr>
            <w:tcW w:type="dxa" w:w="1152"/>
            <w:vAlign w:val="center"/>
            <w:shd w:fill="FFFFFF"/>
            <w:tcMar>
              <w:top w:w="55" w:type="dxa"/>
              <w:bottom w:w="55" w:type="dxa"/>
              <w:left w:w="65" w:type="dxa"/>
              <w:right w:w="65" w:type="dxa"/>
            </w:tcMar>
          </w:tcPr>
          <w:p>
            <w:pPr>
              <w:spacing w:after="0" w:before="0" w:line="240" w:lineRule="auto"/>
            </w:pPr>
            <w:r>
              <w:rPr>
                <w:rFonts w:ascii="Arial" w:hAnsi="Arial"/>
                <w:b w:val="0"/>
                <w:color w:val="000000"/>
                <w:sz w:val="18"/>
              </w:rPr>
              <w:t>0.0640</w:t>
            </w:r>
          </w:p>
        </w:tc>
        <w:tc>
          <w:tcPr>
            <w:tcW w:type="dxa" w:w="2592"/>
            <w:vAlign w:val="center"/>
            <w:shd w:fill="FFFFFF"/>
            <w:tcMar>
              <w:top w:w="55" w:type="dxa"/>
              <w:bottom w:w="55" w:type="dxa"/>
              <w:left w:w="65" w:type="dxa"/>
              <w:right w:w="65" w:type="dxa"/>
            </w:tcMar>
          </w:tcPr>
          <w:p>
            <w:pPr>
              <w:keepNext w:val="0"/>
              <w:spacing w:after="0" w:before="0" w:line="240" w:lineRule="auto"/>
            </w:pPr>
            <w:r>
              <w:rPr>
                <w:rFonts w:ascii="Arial" w:hAnsi="Arial"/>
                <w:b w:val="0"/>
                <w:color w:val="000000"/>
                <w:sz w:val="18"/>
              </w:rPr>
            </w:r>
            <w:r>
              <w:rPr>
                <w:rFonts w:ascii="Arial" w:hAnsi="Arial"/>
                <w:b w:val="0"/>
                <w:color w:val="000000"/>
                <w:sz w:val="18"/>
              </w:rPr>
              <w:t>Δ=+2.08; IER grows ~3×</w:t>
            </w:r>
          </w:p>
        </w:tc>
      </w:tr>
    </w:tbl>
    <w:p>
      <w:pPr>
        <w:widowControl/>
        <w:spacing w:line="240" w:lineRule="auto"/>
      </w:pPr>
      <w:r>
        <w:rPr>
          <w:rFonts w:ascii="Arial" w:hAnsi="Arial"/>
          <w:color w:val="000000"/>
          <w:sz w:val="22"/>
        </w:rPr>
        <w:t>SAPS reward is 41.55 in training, 42.01 in the BP reward-frozen rollout and 43.35 when retrained on BP. Frozen minus Retrained is -1.34, raw p=0.0350, n=5. Their IERs are 0.0080 and 0.0627. The lower frozen IER accompanies lower reward. These small fixed-cohort tests do not establish robust transfer or equivalence, and Frozen is not fully frozen because Beta adapts. LinUCB IER remains 0.0213 versus 0.0640. The comparison identifies a transfer trade-off for further study.</w:t>
      </w:r>
    </w:p>
    <w:p>
      <w:pPr>
        <w:pStyle w:val="Heading2"/>
        <w:widowControl/>
        <w:spacing w:line="240" w:lineRule="auto"/>
      </w:pPr>
      <w:r>
        <w:rPr>
          <w:rFonts w:ascii="Arial" w:hAnsi="Arial" w:eastAsia="Arial" w:cs="Arial"/>
          <w:b/>
          <w:color w:val="000000"/>
          <w:sz w:val="22"/>
        </w:rPr>
        <w:t>7.5 Reproduction boundaries</w:t>
      </w:r>
    </w:p>
    <w:p>
      <w:pPr>
        <w:widowControl/>
        <w:spacing w:line="240" w:lineRule="auto"/>
      </w:pPr>
      <w:r>
        <w:rPr>
          <w:rFonts w:ascii="Arial" w:hAnsi="Arial"/>
          <w:color w:val="000000"/>
          <w:sz w:val="22"/>
        </w:rPr>
        <w:t>The current release regenerates core results, Random, the separate LinUCB summary, cold-start posteriors and both paired comparisons. The core script compares 13 listed files but does not itself regenerate Random/cold-start; their separate commands are in README. A second same-environment core run passes 13/13 comparisons, 0 failed and 0 skipped. Only wall_time_s is stripped; cross-machine BLAS differences around 1e-14 may still fail exact checks. Printed FAIL lines do not currently force a nonzero script exit, so the summary must be inspected. External judge scores remain attached to unchanged LinUCB narrative samples. Static inputs, templates and baseline algorithms were not altered by the IER/SVR repair.</w:t>
      </w:r>
    </w:p>
    <w:p>
      <w:pPr>
        <w:pStyle w:val="Heading1"/>
        <w:widowControl/>
        <w:spacing w:line="240" w:lineRule="auto"/>
      </w:pPr>
      <w:r>
        <w:rPr>
          <w:rFonts w:ascii="Arial" w:hAnsi="Arial" w:eastAsia="Arial" w:cs="Arial"/>
          <w:b/>
          <w:color w:val="000000"/>
          <w:sz w:val="22"/>
        </w:rPr>
        <w:t>8. Conclusion</w:t>
      </w:r>
    </w:p>
    <w:p>
      <w:pPr>
        <w:pStyle w:val="Heading2"/>
        <w:widowControl/>
        <w:spacing w:line="240" w:lineRule="auto"/>
      </w:pPr>
      <w:r>
        <w:rPr>
          <w:rFonts w:ascii="Arial" w:hAnsi="Arial" w:eastAsia="Arial" w:cs="Arial"/>
          <w:b/>
          <w:color w:val="000000"/>
          <w:sz w:val="22"/>
        </w:rPr>
        <w:t>8.1 Summary and headline result</w:t>
      </w:r>
    </w:p>
    <w:p>
      <w:pPr>
        <w:widowControl/>
        <w:spacing w:line="240" w:lineRule="auto"/>
      </w:pPr>
      <w:r>
        <w:rPr>
          <w:rFonts w:ascii="Arial" w:hAnsi="Arial"/>
          <w:color w:val="000000"/>
          <w:sz w:val="22"/>
        </w:rPr>
        <w:t>NarraCare provides a reference implementation and evaluation workflow for inspecting safety-aware rehabilitation recommendations from patient context to feedback. Its practical value is to help research and engineering teams separate task restrictions from learned preferences, distinguish infeasible proposals from accepted-task violations, and review how recommendations become understandable guidance. The offline demo makes this workflow accessible for design review without backend installation; the CLI supplies runtime evidence. These patterns and diagnostics can inform related systems after adapting their catalogues, constraints and evaluation. In the current synthetic cohort SAPS records reward 42.02 versus LinUCB 41.94, without a significant paired advantage, and ungated IER 0.0223 versus 0.0233. The evidence supports the implemented workflow and runtime filtering, while leaving clinical benefit and broader algorithmic superiority unestablished.</w:t>
      </w:r>
    </w:p>
    <w:p>
      <w:pPr>
        <w:pStyle w:val="Heading2"/>
        <w:widowControl/>
        <w:spacing w:line="240" w:lineRule="auto"/>
      </w:pPr>
      <w:r>
        <w:rPr>
          <w:rFonts w:ascii="Arial" w:hAnsi="Arial" w:eastAsia="Arial" w:cs="Arial"/>
          <w:b/>
          <w:color w:val="000000"/>
          <w:sz w:val="22"/>
        </w:rPr>
        <w:t>8.2 Future work</w:t>
      </w:r>
    </w:p>
    <w:p>
      <w:pPr>
        <w:widowControl/>
        <w:spacing w:line="240" w:lineRule="auto"/>
      </w:pPr>
      <w:r>
        <w:rPr>
          <w:rFonts w:ascii="Arial" w:hAnsi="Arial"/>
          <w:color w:val="000000"/>
          <w:sz w:val="22"/>
        </w:rPr>
        <w:t>Next steps are independent repeated rollouts, stronger task-aware baselines, Beta/penalty ablations and fully frozen transfer evaluation. Narrator condition/day mapping and simulator completion bookkeeping also require separately versioned corrections. Clinician review and appropriate patient evaluation would be necessary before patient-care use. The current release incorporates the audited IER/SVR repair and regenerates affected outputs while preserving the synthetic inputs and authored templates.</w:t>
      </w:r>
    </w:p>
    <w:p>
      <w:pPr>
        <w:pStyle w:val="Heading2"/>
        <w:widowControl/>
        <w:spacing w:line="240" w:lineRule="auto"/>
      </w:pPr>
      <w:r>
        <w:rPr>
          <w:rFonts w:ascii="Arial" w:hAnsi="Arial" w:eastAsia="Arial" w:cs="Arial"/>
          <w:b/>
          <w:color w:val="000000"/>
          <w:sz w:val="22"/>
        </w:rPr>
        <w:t>8.3 Closing</w:t>
      </w:r>
    </w:p>
    <w:p>
      <w:pPr>
        <w:widowControl/>
        <w:spacing w:line="240" w:lineRule="auto"/>
      </w:pPr>
      <w:r>
        <w:rPr>
          <w:rFonts w:ascii="Arial" w:hAnsi="Arial"/>
          <w:color w:val="000000"/>
          <w:sz w:val="22"/>
        </w:rPr>
        <w:t>The project offers a concrete way to organize and inspect a rehabilitation recommendation service before patient deployment. Its reusable elements are the explicit feasibility stage, complementary proposal/execution diagnostics, and offline walkthrough backed by executable components and stored results. Future teams can use these to formulate testable safety and usability questions for their own setting. Their value is a reviewable starting point, with clinical effectiveness and transfer still requiring dedicated evaluation.</w:t>
      </w:r>
    </w:p>
    <w:p>
      <w:pPr>
        <w:pStyle w:val="Heading1"/>
        <w:widowControl/>
        <w:spacing w:line="240" w:lineRule="auto"/>
      </w:pPr>
      <w:r>
        <w:rPr>
          <w:rFonts w:ascii="Arial" w:hAnsi="Arial" w:eastAsia="Arial" w:cs="Arial"/>
          <w:b/>
          <w:color w:val="000000"/>
          <w:sz w:val="22"/>
        </w:rPr>
        <w:t>References</w:t>
      </w:r>
    </w:p>
    <w:p>
      <w:pPr>
        <w:widowControl/>
        <w:spacing w:after="0" w:line="240" w:lineRule="auto"/>
      </w:pPr>
      <w:r>
        <w:rPr>
          <w:rFonts w:ascii="Arial" w:hAnsi="Arial" w:eastAsia="Arial" w:cs="Arial"/>
          <w:color w:val="000000"/>
          <w:sz w:val="22"/>
        </w:rPr>
        <w:t>[1] Agrawal, S., &amp; Goyal, N. (2013). Thompson Sampling for Contextual Bandits with Linear Payoffs. ICML.</w:t>
      </w:r>
    </w:p>
    <w:p>
      <w:pPr>
        <w:widowControl/>
        <w:spacing w:after="0" w:line="240" w:lineRule="auto"/>
      </w:pPr>
      <w:r>
        <w:rPr>
          <w:rFonts w:ascii="Arial" w:hAnsi="Arial" w:eastAsia="Arial" w:cs="Arial"/>
          <w:color w:val="000000"/>
          <w:sz w:val="22"/>
        </w:rPr>
        <w:t>[2] Altman, E. (1999). Constrained Markov Decision Processes. Chapman &amp; Hall/CRC.</w:t>
      </w:r>
    </w:p>
    <w:p>
      <w:pPr>
        <w:widowControl/>
        <w:spacing w:after="0" w:line="240" w:lineRule="auto"/>
      </w:pPr>
      <w:r>
        <w:rPr>
          <w:rFonts w:ascii="Arial" w:hAnsi="Arial" w:eastAsia="Arial" w:cs="Arial"/>
          <w:color w:val="000000"/>
          <w:sz w:val="22"/>
        </w:rPr>
        <w:t>[3] Amani, S., Alizadeh, M., &amp; Thrampoulidis, C. (2019). Linear Stochastic Bandits Under Safety Constraints. NeurIPS.</w:t>
      </w:r>
    </w:p>
    <w:p>
      <w:pPr>
        <w:widowControl/>
        <w:spacing w:after="0" w:line="240" w:lineRule="auto"/>
      </w:pPr>
      <w:r>
        <w:rPr>
          <w:rFonts w:ascii="Arial" w:hAnsi="Arial" w:eastAsia="Arial" w:cs="Arial"/>
          <w:color w:val="000000"/>
          <w:sz w:val="22"/>
        </w:rPr>
        <w:t>[4] Argent, R., Daly, A., &amp; Caulfield, B. (2018). Patient Involvement With Home-Based Exercise Programs: Can Connected Health Interventions Influence Adherence? JMIR mHealth and uHealth, 6(3), e47.</w:t>
      </w:r>
    </w:p>
    <w:p>
      <w:pPr>
        <w:widowControl/>
        <w:spacing w:after="0" w:line="240" w:lineRule="auto"/>
      </w:pPr>
      <w:r>
        <w:rPr>
          <w:rFonts w:ascii="Arial" w:hAnsi="Arial" w:eastAsia="Arial" w:cs="Arial"/>
          <w:color w:val="000000"/>
          <w:sz w:val="22"/>
        </w:rPr>
        <w:t>[5] Chapelle, O., &amp; Li, L. (2011). An Empirical Evaluation of Thompson Sampling. NeurIPS.</w:t>
      </w:r>
    </w:p>
    <w:p>
      <w:pPr>
        <w:widowControl/>
        <w:spacing w:after="0" w:line="240" w:lineRule="auto"/>
      </w:pPr>
      <w:r>
        <w:rPr>
          <w:rFonts w:ascii="Arial" w:hAnsi="Arial" w:eastAsia="Arial" w:cs="Arial"/>
          <w:color w:val="000000"/>
          <w:sz w:val="22"/>
        </w:rPr>
        <w:t>[6] Deci, E. L., &amp; Ryan, R. M. (2000). The "what" and "why" of goal pursuits. Psychological Inquiry, 11(4), 227–268.</w:t>
      </w:r>
    </w:p>
    <w:p>
      <w:pPr>
        <w:widowControl/>
        <w:spacing w:after="0" w:line="240" w:lineRule="auto"/>
      </w:pPr>
      <w:r>
        <w:rPr>
          <w:rFonts w:ascii="Arial" w:hAnsi="Arial" w:eastAsia="Arial" w:cs="Arial"/>
          <w:color w:val="000000"/>
          <w:sz w:val="22"/>
        </w:rPr>
        <w:t>[7] Jack, K., McLean, S. M., Moffett, J. K., &amp; Gardiner, E. (2010). Barriers to treatment adherence in physiotherapy outpatient clinics: a systematic review. Manual Therapy, 15(3), 220–228.</w:t>
      </w:r>
    </w:p>
    <w:p>
      <w:pPr>
        <w:widowControl/>
        <w:spacing w:after="0" w:line="240" w:lineRule="auto"/>
      </w:pPr>
      <w:r>
        <w:rPr>
          <w:rFonts w:ascii="Arial" w:hAnsi="Arial" w:eastAsia="Arial" w:cs="Arial"/>
          <w:color w:val="000000"/>
          <w:sz w:val="22"/>
        </w:rPr>
        <w:t>[8] Kuhn, J. E. (2009). Exercise in the treatment of rotator cuff impingement: a systematic review and a synthesized evidence-based rehabilitation protocol. JSES, 18(1), 138–160.</w:t>
      </w:r>
    </w:p>
    <w:p>
      <w:pPr>
        <w:widowControl/>
        <w:spacing w:after="0" w:line="240" w:lineRule="auto"/>
      </w:pPr>
      <w:r>
        <w:rPr>
          <w:rFonts w:ascii="Arial" w:hAnsi="Arial" w:eastAsia="Arial" w:cs="Arial"/>
          <w:color w:val="000000"/>
          <w:sz w:val="22"/>
        </w:rPr>
        <w:t>[9] Li, L., Chu, W., Langford, J., &amp; Schapire, R. E. (2010). A contextual-bandit approach to personalized news article recommendation. WWW.</w:t>
      </w:r>
    </w:p>
    <w:p>
      <w:pPr>
        <w:widowControl/>
        <w:spacing w:after="0" w:line="240" w:lineRule="auto"/>
      </w:pPr>
      <w:r>
        <w:rPr>
          <w:rFonts w:ascii="Arial" w:hAnsi="Arial" w:eastAsia="Arial" w:cs="Arial"/>
          <w:color w:val="000000"/>
          <w:sz w:val="22"/>
        </w:rPr>
        <w:t>[10] Pacchiano, A., Ghavamzadeh, M., Bartlett, P., &amp; Jiang, H. (2021). Stochastic Bandits with Linear Constraints. AISTATS.</w:t>
      </w:r>
    </w:p>
    <w:p>
      <w:pPr>
        <w:widowControl/>
        <w:spacing w:after="0" w:line="240" w:lineRule="auto"/>
      </w:pPr>
      <w:r>
        <w:rPr>
          <w:rFonts w:ascii="Arial" w:hAnsi="Arial" w:eastAsia="Arial" w:cs="Arial"/>
          <w:color w:val="000000"/>
          <w:sz w:val="22"/>
        </w:rPr>
        <w:t>[11] Park, J. S., O'Brien, J., Cai, C. J., Morris, M. R., Liang, P., &amp; Bernstein, M. S. (2023). Generative Agents: Interactive Simulacra of Human Behavior. UIST.</w:t>
      </w:r>
    </w:p>
    <w:p>
      <w:pPr>
        <w:widowControl/>
        <w:spacing w:after="0" w:line="240" w:lineRule="auto"/>
      </w:pPr>
      <w:r>
        <w:rPr>
          <w:rFonts w:ascii="Arial" w:hAnsi="Arial" w:eastAsia="Arial" w:cs="Arial"/>
          <w:color w:val="000000"/>
          <w:sz w:val="22"/>
        </w:rPr>
        <w:t>[12] Prochaska, J. O., &amp; Velicer, W. F. (1997). The Transtheoretical Model of Health Behavior Change. American Journal of Health Promotion, 12(1), 38–48.</w:t>
      </w:r>
    </w:p>
    <w:p>
      <w:pPr>
        <w:widowControl/>
        <w:spacing w:after="0" w:line="240" w:lineRule="auto"/>
      </w:pPr>
      <w:r>
        <w:rPr>
          <w:rFonts w:ascii="Arial" w:hAnsi="Arial" w:eastAsia="Arial" w:cs="Arial"/>
          <w:color w:val="000000"/>
          <w:sz w:val="22"/>
        </w:rPr>
        <w:t>[13] Riedl, M. O., &amp; Bulitko, V. (2013). Interactive Narrative: An Intelligent Systems Approach. AI Magazine, 34(1), 67–77.</w:t>
      </w:r>
    </w:p>
    <w:p>
      <w:pPr>
        <w:widowControl/>
        <w:spacing w:after="0" w:line="240" w:lineRule="auto"/>
      </w:pPr>
      <w:r>
        <w:rPr>
          <w:rFonts w:ascii="Arial" w:hAnsi="Arial" w:eastAsia="Arial" w:cs="Arial"/>
          <w:color w:val="000000"/>
          <w:sz w:val="22"/>
        </w:rPr>
        <w:t>[14] Riquelme, C., Tucker, G., &amp; Snoek, J. (2018). Deep Bayesian Bandits Showdown: An Empirical Comparison of Bayesian Deep Networks for Thompson Sampling. ICLR.</w:t>
      </w:r>
    </w:p>
    <w:p>
      <w:pPr>
        <w:widowControl/>
        <w:spacing w:after="0" w:line="240" w:lineRule="auto"/>
      </w:pPr>
      <w:r>
        <w:rPr>
          <w:rFonts w:ascii="Arial" w:hAnsi="Arial" w:eastAsia="Arial" w:cs="Arial"/>
          <w:color w:val="000000"/>
          <w:sz w:val="22"/>
        </w:rPr>
        <w:t>[15] Sharma, A., Lin, I. W., Miner, A. S., Atkins, D. C., &amp; Althoff, T. (2023). Human–AI collaboration enables more empathic conversations in text-based peer-to-peer mental health support. Nature Machine Intelligence, 5, 46–57.</w:t>
      </w:r>
    </w:p>
    <w:p>
      <w:pPr>
        <w:widowControl/>
        <w:spacing w:after="0" w:line="240" w:lineRule="auto"/>
      </w:pPr>
      <w:r>
        <w:rPr>
          <w:rFonts w:ascii="Arial" w:hAnsi="Arial" w:eastAsia="Arial" w:cs="Arial"/>
          <w:color w:val="000000"/>
          <w:sz w:val="22"/>
        </w:rPr>
        <w:t>[16] van Grinsven, S., van Cingel, R. E. H., Holla, C. J. M., &amp; van Loon, C. J. M. (2010). Evidence-based rehabilitation following anterior cruciate ligament reconstruction. KSSTA, 18(8), 1128–1144.</w:t>
      </w:r>
    </w:p>
    <w:p>
      <w:pPr>
        <w:widowControl/>
        <w:spacing w:after="0" w:line="240" w:lineRule="auto"/>
      </w:pPr>
      <w:r>
        <w:rPr>
          <w:rFonts w:ascii="Arial" w:hAnsi="Arial" w:eastAsia="Arial" w:cs="Arial"/>
          <w:color w:val="000000"/>
          <w:sz w:val="22"/>
        </w:rPr>
        <w:t>[17] Zhou, D., Li, L., &amp; Gu, Q. (2020). Neural Contextual Bandits with UCB-based Exploration. ICML.</w:t>
      </w:r>
    </w:p>
    <w:sectPr w:rsidR="00FC693F" w:rsidRPr="0006063C" w:rsidSect="00034616">
      <w:headerReference w:type="default" r:id="rId9"/>
      <w:footerReference w:type="default" r:id="rId10"/>
      <w:pgSz w:w="11909" w:h="16834"/>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sz w:val="22"/>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Arial" w:hAnsi="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40" w:lineRule="auto" w:after="8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NarraCare Safety Aware Narrative Recommendation for Rehabilitation</dc:title>
  <dc:subject>CA6124 group project technical report</dc:subject>
  <dc:creator>python-docx</dc:creator>
  <cp:keywords/>
  <dc:description>Practical value and contribution clarified. Experimental data and tables unchanged.</dc:description>
  <cp:lastModifiedBy/>
  <cp:revision>1</cp:revision>
  <dcterms:created xsi:type="dcterms:W3CDTF">2013-12-23T23:15:00Z</dcterms:created>
  <dcterms:modified xsi:type="dcterms:W3CDTF">2013-12-23T23:15:00Z</dcterms:modified>
  <cp:category/>
</cp:coreProperties>
</file>