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jc w:val="center"/>
      </w:pPr>
      <w:r>
        <w:rPr>
          <w:rFonts w:ascii="Arial" w:hAnsi="Arial"/>
          <w:color w:val="000000"/>
        </w:rPr>
        <w:t>NarraCare Conversational Rehabilitation Recommendation with a Narrative Companion</w:t>
      </w:r>
    </w:p>
    <w:p>
      <w:pPr>
        <w:widowControl/>
        <w:spacing w:line="240" w:lineRule="auto"/>
        <w:jc w:val="center"/>
      </w:pPr>
      <w:r>
        <w:rPr>
          <w:rFonts w:ascii="Arial" w:hAnsi="Arial" w:eastAsia="Arial" w:cs="Arial"/>
          <w:color w:val="000000"/>
          <w:sz w:val="22"/>
        </w:rPr>
        <w:t>CA6124 Group Project — 26S1</w:t>
      </w:r>
    </w:p>
    <w:p>
      <w:pPr>
        <w:pStyle w:val="Heading1"/>
        <w:widowControl/>
        <w:spacing w:line="240" w:lineRule="auto"/>
      </w:pPr>
      <w:r>
        <w:rPr>
          <w:rFonts w:ascii="Arial" w:hAnsi="Arial" w:eastAsia="Arial" w:cs="Arial"/>
          <w:b/>
          <w:color w:val="000000"/>
          <w:sz w:val="22"/>
        </w:rPr>
        <w:t>1. Introduction</w:t>
      </w:r>
    </w:p>
    <w:p>
      <w:pPr>
        <w:pStyle w:val="Heading2"/>
        <w:widowControl/>
        <w:spacing w:line="240" w:lineRule="auto"/>
      </w:pPr>
      <w:r>
        <w:rPr>
          <w:rFonts w:ascii="Arial" w:hAnsi="Arial" w:eastAsia="Arial" w:cs="Arial"/>
          <w:b/>
          <w:color w:val="000000"/>
          <w:sz w:val="22"/>
        </w:rPr>
        <w:t>1.1 Motivation</w:t>
      </w:r>
    </w:p>
    <w:p>
      <w:pPr>
        <w:widowControl/>
        <w:spacing w:line="240" w:lineRule="auto"/>
      </w:pPr>
      <w:r>
        <w:rPr>
          <w:rFonts w:ascii="Arial" w:hAnsi="Arial"/>
          <w:color w:val="000000"/>
        </w:rPr>
        <w:t>Rehabilitation recommendations must reflect changing symptoms and recovery stage. Adherence barriers motivate practical guidance [4,7]. NarraCare clarifies context, restricts unsuitable tasks, recommends an exercise and adapts from feedback. Researchers and rehabilitation-technology teams can inspect this workflow using synthetic profiles. A mountain-trail companion explores manageable achievements and permission to rest without demanding coaching. Clinical literature informs the scenario [8,16]; patient benefit remains a hypothesis.</w:t>
      </w:r>
    </w:p>
    <w:p>
      <w:pPr>
        <w:pStyle w:val="Heading2"/>
        <w:widowControl/>
        <w:spacing w:line="240" w:lineRule="auto"/>
      </w:pPr>
      <w:r>
        <w:rPr>
          <w:rFonts w:ascii="Arial" w:hAnsi="Arial" w:eastAsia="Arial" w:cs="Arial"/>
          <w:b/>
          <w:color w:val="000000"/>
          <w:sz w:val="22"/>
        </w:rPr>
        <w:t>1.2 Problem setting</w:t>
      </w:r>
    </w:p>
    <w:p>
      <w:pPr>
        <w:widowControl/>
        <w:spacing w:line="240" w:lineRule="auto"/>
      </w:pPr>
      <w:r>
        <w:rPr>
          <w:rFonts w:ascii="Arial" w:hAnsi="Arial"/>
          <w:color w:val="000000"/>
        </w:rPr>
        <w:t>We formulate a 60-day, context-aware sequential recommendation task over 100 exercises. Inputs are a patient profile, pain, fatigue, range of motion (ROM), mood and history. Outputs are a feasible ranked task, narrative framing and daily closing. The benchmark maximizes cumulative simulator reward under implemented restrictions. A separate conversational agent replaces simulated behavior with user-reported state and outcomes; it does not change the benchmark protocol. ACL and rotator-cuff profiles are postoperative; BP profiles represent chronic back pain, not back surgery. Improved adherence and clinical recovery are not evaluated outcomes.</w:t>
      </w:r>
    </w:p>
    <w:p>
      <w:pPr>
        <w:pStyle w:val="Heading2"/>
        <w:widowControl/>
        <w:spacing w:line="240" w:lineRule="auto"/>
      </w:pPr>
      <w:r>
        <w:rPr>
          <w:rFonts w:ascii="Arial" w:hAnsi="Arial" w:eastAsia="Arial" w:cs="Arial"/>
          <w:b/>
          <w:color w:val="000000"/>
          <w:sz w:val="22"/>
        </w:rPr>
        <w:t>1.3 Contributions</w:t>
      </w:r>
    </w:p>
    <w:p>
      <w:pPr>
        <w:widowControl/>
        <w:spacing w:line="240" w:lineRule="auto"/>
      </w:pPr>
      <w:r>
        <w:rPr>
          <w:rFonts w:ascii="Arial" w:hAnsi="Arial"/>
          <w:color w:val="000000"/>
        </w:rPr>
        <w:t>We integrate recommendation, safety, narrative support and feedback with an inspectable evaluation workflow. Hard feasibility is separate from the Beta safety bonus and reward penalties. Ungated top-5 IER complements accepted-task SVR, exposing proposal failures hidden by filtering. An LLM controller adds clarification, preference memory, grounded explanations and reported-outcome updates. The trail explores companionship, manageable achievements and optional rest. These are contributions in architecture, integration, evaluation and application design, not claims to invent IER or establish a superior bandit. SAPS reward is 42.02 versus LinUCB 41.94 without a significant paired advantage. Engagement benefits remain untested.</w:t>
      </w:r>
    </w:p>
    <w:p>
      <w:pPr>
        <w:widowControl/>
        <w:spacing w:line="240" w:lineRule="auto"/>
      </w:pPr>
      <w:r>
        <w:rPr>
          <w:rFonts w:ascii="Arial" w:hAnsi="Arial"/>
          <w:color w:val="000000"/>
        </w:rPr>
        <w:t>Repository: https://github.com/ZHIQIAN-fine/NarraCare. The main branch contains the implemented conversational agent and unchanged benchmark. The agent branch provides the reviewed submission bundle; the benchmark branch preserves the pre-agent version. Section 7 gives installation, verification and demonstration commands. Core agent implementation: commit 9801bd4. Benchmark artifacts follow the ungated-IER and five-rule SVR repair; static inputs and templates are unchanged.</w:t>
      </w:r>
    </w:p>
    <w:p>
      <w:pPr>
        <w:pStyle w:val="Heading1"/>
        <w:widowControl/>
        <w:spacing w:line="240" w:lineRule="auto"/>
      </w:pPr>
      <w:r>
        <w:rPr>
          <w:rFonts w:ascii="Arial" w:hAnsi="Arial" w:eastAsia="Arial" w:cs="Arial"/>
          <w:b/>
          <w:color w:val="000000"/>
          <w:sz w:val="22"/>
        </w:rPr>
        <w:t>2. Related Work</w:t>
      </w:r>
    </w:p>
    <w:p>
      <w:pPr>
        <w:widowControl/>
        <w:spacing w:line="240" w:lineRule="auto"/>
      </w:pPr>
      <w:r>
        <w:rPr>
          <w:rFonts w:ascii="Arial" w:hAnsi="Arial" w:eastAsia="Arial" w:cs="Arial"/>
          <w:color w:val="000000"/>
          <w:sz w:val="22"/>
        </w:rPr>
        <w:t>Contextual bandits provide online adaptation from patient feedback. LinUCB [9] supplies an interpretable reward backbone; Thompson sampling [1,5] and Bayesian bandit comparisons [14] motivate an additional uncertainty-aware safety signal. SAPS uses a Beta draw for safety while retaining a LinUCB UCB reward score. It is a task-specific hybrid rather than a claim to a new regret guarantee. Constrained decision processes [2] and safe bandits [3,10] motivate separating hard feasibility from learned reward, but NarraCare does not implement their full constraint-optimization algorithms. Its safety penalty is configured, not a learned Lagrange multiplier. The modified NeuralUCB reference is inspired by [17], yet its shared network output cancels in arm ranking; it is not original gradient-UCB. For narrative support, self-determination and stages-of-change theories [6,12] motivate a progression from guidance to autonomy. Interactive narrative [13] and generative agents [11] provide architectural context, while human-AI empathy work [15] motivates auditing tone. These sources do not establish that our templates improve rehabilitation adherence. We evaluate the implemented templates directly.</w:t>
      </w:r>
    </w:p>
    <w:p>
      <w:pPr>
        <w:pStyle w:val="Heading1"/>
        <w:widowControl/>
        <w:spacing w:line="240" w:lineRule="auto"/>
      </w:pPr>
      <w:r>
        <w:rPr>
          <w:rFonts w:ascii="Arial" w:hAnsi="Arial" w:eastAsia="Arial" w:cs="Arial"/>
          <w:b/>
          <w:color w:val="000000"/>
          <w:sz w:val="22"/>
        </w:rPr>
        <w:t>3. Dataset and Problem Formulation</w:t>
      </w:r>
    </w:p>
    <w:p>
      <w:pPr>
        <w:pStyle w:val="Heading2"/>
        <w:widowControl/>
        <w:spacing w:line="240" w:lineRule="auto"/>
      </w:pPr>
      <w:r>
        <w:rPr>
          <w:rFonts w:ascii="Arial" w:hAnsi="Arial" w:eastAsia="Arial" w:cs="Arial"/>
          <w:b/>
          <w:color w:val="000000"/>
          <w:sz w:val="22"/>
        </w:rPr>
        <w:t>3.1 Overview and provenance</w:t>
      </w:r>
    </w:p>
    <w:p>
      <w:pPr>
        <w:widowControl/>
        <w:spacing w:line="240" w:lineRule="auto"/>
      </w:pPr>
      <w:r>
        <w:rPr>
          <w:rFonts w:ascii="Arial" w:hAnsi="Arial" w:eastAsia="Arial" w:cs="Arial"/>
          <w:color w:val="000000"/>
          <w:sz w:val="22"/>
        </w:rPr>
        <w:t>All data is synthetic and authored for this coursework. The fixed JSON assets are committed under data/: user_profiles.json, task_library.json, safety_rules.json, narrative_arcs.json and narrator_tone_templates.json. No identifiable patient records or external dataset download is used. Static inputs are read directly without preprocessing; reproduction scripts generate experiment outputs, not the input catalogues. Clinical publications motivate the exercise setting, but the student-authored rules are neither a complete protocol nor clinician-certified. Simulator and policy co-authorship may align the evaluation environment with our design assumptions, so results establish behavior within this simulation only.</w:t>
      </w:r>
    </w:p>
    <w:p>
      <w:pPr>
        <w:pStyle w:val="Heading2"/>
        <w:widowControl/>
        <w:spacing w:line="240" w:lineRule="auto"/>
      </w:pPr>
      <w:r>
        <w:rPr>
          <w:rFonts w:ascii="Arial" w:hAnsi="Arial" w:eastAsia="Arial" w:cs="Arial"/>
          <w:b/>
          <w:color w:val="000000"/>
          <w:sz w:val="22"/>
        </w:rPr>
        <w:t>3.2 User cohort (N = 20)</w:t>
      </w:r>
    </w:p>
    <w:p>
      <w:pPr>
        <w:widowControl/>
        <w:spacing w:line="240" w:lineRule="auto"/>
      </w:pPr>
      <w:r>
        <w:rPr>
          <w:rFonts w:ascii="Arial" w:hAnsi="Arial" w:eastAsia="Arial" w:cs="Arial"/>
          <w:color w:val="000000"/>
          <w:sz w:val="22"/>
        </w:rPr>
        <w:t>The cohort contains 20 personas: ACL reconstruction U001-U005 and U016-U020 (n=10), rotator-cuff repair U006-U010 (n=5), and chronic lower-back pain U011-U015 (n=5). Profiles include age, condition, starting stage, baseline pain/fatigue, ROM where applicable, preferences, contraindication tags and personality. The personality split is motivated 7, inconsistent 6 and cautious 7. The simulator maps these to utility thresholds 0.15, 0.22 and 0.30 respectively. These are design choices, not estimates fitted to clinical adherence data. Some fields have missing values and are handled by component defaults; this limits clinical interpretation.</w:t>
      </w:r>
    </w:p>
    <w:p>
      <w:pPr>
        <w:pStyle w:val="Heading2"/>
        <w:widowControl/>
        <w:spacing w:line="240" w:lineRule="auto"/>
      </w:pPr>
      <w:r>
        <w:rPr>
          <w:rFonts w:ascii="Arial" w:hAnsi="Arial" w:eastAsia="Arial" w:cs="Arial"/>
          <w:b/>
          <w:color w:val="000000"/>
          <w:sz w:val="22"/>
        </w:rPr>
        <w:t>3.3 Task catalogue (|A| = 100)</w:t>
      </w:r>
    </w:p>
    <w:p>
      <w:pPr>
        <w:widowControl/>
        <w:spacing w:line="240" w:lineRule="auto"/>
      </w:pPr>
      <w:r>
        <w:rPr>
          <w:rFonts w:ascii="Arial" w:hAnsi="Arial" w:eastAsia="Arial" w:cs="Arial"/>
          <w:color w:val="000000"/>
          <w:sz w:val="22"/>
        </w:rPr>
        <w:t>The catalogue has 100 tasks: strength 41, flexibility 29, balance 12, cardio 10 and rest 8. Each JSON record contains task_id, name, name_zh, category, body_part, difficulty, duration_min, reps, sets, contraindications, applicable_stages, equipment, description and safety_notes. Difficulty ranges from 1 to 5. The records do not contain expected pain/fatigue/ROM delta fields or narrative tags. Separately, UserUnderstandingAgent constructs a 15-dimensional patient context from state, profile and memory; that feature vector must not be confused with a task record. The static catalogue, not a learned clinical representation, defines the recommendation action space.</w:t>
      </w:r>
    </w:p>
    <w:p>
      <w:pPr>
        <w:pStyle w:val="Heading2"/>
        <w:widowControl/>
        <w:spacing w:line="240" w:lineRule="auto"/>
      </w:pPr>
      <w:r>
        <w:rPr>
          <w:rFonts w:ascii="Arial" w:hAnsi="Arial" w:eastAsia="Arial" w:cs="Arial"/>
          <w:b/>
          <w:color w:val="000000"/>
          <w:sz w:val="22"/>
        </w:rPr>
        <w:t>3.4 Condition-specific contraindications</w:t>
      </w:r>
    </w:p>
    <w:p>
      <w:pPr>
        <w:widowControl/>
        <w:spacing w:line="240" w:lineRule="auto"/>
      </w:pPr>
      <w:r>
        <w:rPr>
          <w:rFonts w:ascii="Arial" w:hAnsi="Arial" w:eastAsia="Arial" w:cs="Arial"/>
          <w:color w:val="000000"/>
          <w:sz w:val="22"/>
        </w:rPr>
        <w:t>Runtime PF_R1 removes a task when its contraindication tags intersect the patient's personal contraindication list. PF_R2 checks applicable_stages against the profile's stage. Other runtime checks use pain, fatigue, ROM and task properties as listed in Table 4.1. These are literal implemented predicates, not a general interpreter of clinical rules. In particular, the JSON contraindication/dosage/fatigue definitions are not dynamically evaluated as their written trigger expressions during pre_filter. The presence of a design definition therefore does not establish that its full clinical semantics are enforced.</w:t>
      </w:r>
    </w:p>
    <w:p>
      <w:pPr>
        <w:pStyle w:val="Heading2"/>
        <w:widowControl/>
        <w:spacing w:line="240" w:lineRule="auto"/>
      </w:pPr>
      <w:r>
        <w:rPr>
          <w:rFonts w:ascii="Arial" w:hAnsi="Arial" w:eastAsia="Arial" w:cs="Arial"/>
          <w:b/>
          <w:color w:val="000000"/>
          <w:sz w:val="22"/>
        </w:rPr>
        <w:t>3.5 Expected-Utility simulator and rollout structure</w:t>
      </w:r>
    </w:p>
    <w:p>
      <w:pPr>
        <w:widowControl/>
        <w:spacing w:line="240" w:lineRule="auto"/>
      </w:pPr>
      <w:r>
        <w:rPr>
          <w:rFonts w:ascii="Arial" w:hAnsi="Arial" w:eastAsia="Arial" w:cs="Arial"/>
          <w:color w:val="000000"/>
          <w:sz w:val="22"/>
        </w:rPr>
        <w:t>The simulator generates daily state from profile baselines, noise and internal ROM bookkeeping. It scores a task with utility U = 0.35 DF + 0.20 PM + 0.10 NV - 0.20 PR - 0.15 FC, representing difficulty fit, preference match, novelty, pain risk and fatigue cost. Acceptance is sampled with probability sigmoid(8(U - U_theta)); feedback and scalar reward are computed separately. A fixed seed makes reruns reproducible within a compatible environment. It does not guarantee identical realized user-day noise across policies: random draws are consumed sequentially, and NeuralUCB warm-start draws additional states. All users share one online learner. The input arc day ranges are 1-15, 16-40 and 41-60, while pipeline indexing begins at zero; Section 6 explains the resulting fallback. Cold-start trains on 15 ACL/RC users and evaluates on five BP users.</w:t>
      </w:r>
    </w:p>
    <w:p>
      <w:pPr>
        <w:pStyle w:val="Heading2"/>
        <w:widowControl/>
        <w:spacing w:line="240" w:lineRule="auto"/>
      </w:pPr>
      <w:r>
        <w:rPr>
          <w:rFonts w:ascii="Arial" w:hAnsi="Arial" w:eastAsia="Arial" w:cs="Arial"/>
          <w:b/>
          <w:color w:val="000000"/>
          <w:sz w:val="22"/>
        </w:rPr>
        <w:t>3.6 Problem formulation and metrics</w:t>
      </w:r>
    </w:p>
    <w:p>
      <w:pPr>
        <w:widowControl/>
        <w:spacing w:line="240" w:lineRule="auto"/>
      </w:pPr>
      <w:r>
        <w:rPr>
          <w:rFonts w:ascii="Arial" w:hAnsi="Arial"/>
          <w:color w:val="000000"/>
          <w:sz w:val="22"/>
        </w:rPr>
        <w:t>Acceptance is accepted interactions divided by all interactions. Cumulative Reward sums scalar rewards per persona and averages over personas. IER measures the fraction of an ungated all-candidate top-5 outside the current feasible set, including emotional difficulty caps, then averages across turns/personas. SAPS uses select_raw_topk rather than its gated select method. The same infeasible IDs receive the existing negative reward updates, so this repair changes learning as well as measurement. SVR counts accepted tasks violating any of PF_R1-PF_R5, divided by accepted tasks. Every log carries this observation from a full-rule SafetyAgent audit, including NoSafety/one-drop runs. Formal summaries average per-person SVR, while dedicated pooled replay and the single-user CLI divide total violations by total accepted tasks. Diversity is unique chosen task IDs divided by interactions per persona, not Diversity@10.</w:t>
      </w:r>
    </w:p>
    <w:p>
      <w:pPr>
        <w:pStyle w:val="Heading1"/>
        <w:widowControl/>
        <w:spacing w:line="240" w:lineRule="auto"/>
      </w:pPr>
      <w:r>
        <w:rPr>
          <w:rFonts w:ascii="Arial" w:hAnsi="Arial" w:eastAsia="Arial" w:cs="Arial"/>
          <w:b/>
          <w:color w:val="000000"/>
          <w:sz w:val="22"/>
        </w:rPr>
        <w:t>4. Proposed System</w:t>
      </w:r>
    </w:p>
    <w:p>
      <w:pPr>
        <w:pStyle w:val="Heading2"/>
        <w:widowControl/>
        <w:spacing w:line="240" w:lineRule="auto"/>
      </w:pPr>
      <w:r>
        <w:rPr>
          <w:rFonts w:ascii="Arial" w:hAnsi="Arial" w:eastAsia="Arial" w:cs="Arial"/>
          <w:b/>
          <w:color w:val="000000"/>
          <w:sz w:val="22"/>
        </w:rPr>
        <w:t>4.1 System overview</w:t>
      </w:r>
    </w:p>
    <w:p>
      <w:pPr>
        <w:widowControl/>
        <w:spacing w:line="240" w:lineRule="auto"/>
      </w:pPr>
      <w:r>
        <w:rPr>
          <w:rFonts w:ascii="Arial" w:hAnsi="Arial"/>
          <w:color w:val="000000"/>
        </w:rPr>
        <w:t>NarraCare provides two connected execution paths. In the benchmark, the User Simulator supplies state to understanding/memory; Safety pre_filter and an emotional difficulty cap restrict candidates; the Recommender ranks them; Safety post_check reviews the shortlist. The template Narrator presents a task. Simulated choice and feedback drive compute_reward and online updates, followed by a daily closing. The Reward Composer is a reused pipeline function. In the conversational path, GPT-4o-mini interprets English and selects guarded tools for check-in, clarification, preferences, retrieval, SAPS ranking, recommendation, explanation and feedback. A bounded tool loop allows up to ten calls per user turn. Tools validate evidence, ranges and sequence, enforce the existing safety checks and ground responses in catalogue results. Session memory retains reported context and preferences. This is an LLM plus conventional recommender integration; the model cannot bypass tool validation or prescribe outside the catalogue. The two paths have separate evidence: formal simulated comparisons versus interaction verification.</w:t>
      </w:r>
    </w:p>
    <w:p>
      <w:pPr>
        <w:pStyle w:val="Heading2"/>
        <w:widowControl/>
        <w:spacing w:line="240" w:lineRule="auto"/>
      </w:pPr>
      <w:r>
        <w:rPr>
          <w:rFonts w:ascii="Arial" w:hAnsi="Arial" w:eastAsia="Arial" w:cs="Arial"/>
          <w:b/>
          <w:color w:val="000000"/>
          <w:sz w:val="22"/>
        </w:rPr>
        <w:t>4.2 User Simulator</w:t>
      </w:r>
    </w:p>
    <w:p>
      <w:pPr>
        <w:widowControl/>
        <w:spacing w:line="240" w:lineRule="auto"/>
      </w:pPr>
      <w:r>
        <w:rPr>
          <w:rFonts w:ascii="Arial" w:hAnsi="Arial" w:eastAsia="Arial" w:cs="Arial"/>
          <w:color w:val="000000"/>
          <w:sz w:val="22"/>
        </w:rPr>
        <w:t>UserSimulator exposes simulate_daily_state, simulate_choice, simulate_feedback and compute_reward. Expected utility determines a probabilistic choice among recommended tasks; feedback supplies completion, pain_change, fatigue_change, ROM change and satisfaction. Personality and task properties affect these signals. Daily pain/fatigue are noisy baseline-driven quantities, not a validated clinical transition model. A bookkeeping limitation is that simulate_feedback can increment completed-task counters before the pipeline overwrites a rejected action's completion flag. Skipped actions may therefore still contribute to internal recovery bookkeeping. We retain this implementation and report the simulation as stylized, not clinically calibrated.</w:t>
      </w:r>
    </w:p>
    <w:p>
      <w:pPr>
        <w:pStyle w:val="Heading2"/>
        <w:widowControl/>
        <w:spacing w:line="240" w:lineRule="auto"/>
      </w:pPr>
      <w:r>
        <w:rPr>
          <w:rFonts w:ascii="Arial" w:hAnsi="Arial" w:eastAsia="Arial" w:cs="Arial"/>
          <w:b/>
          <w:color w:val="000000"/>
          <w:sz w:val="22"/>
        </w:rPr>
        <w:t>4.3 Recommender (SAPS + LinUCB + five baselines)</w:t>
      </w:r>
    </w:p>
    <w:p>
      <w:pPr>
        <w:widowControl/>
        <w:spacing w:line="240" w:lineRule="auto"/>
      </w:pPr>
      <w:r>
        <w:rPr>
          <w:rFonts w:ascii="Arial" w:hAnsi="Arial"/>
          <w:color w:val="000000"/>
          <w:sz w:val="22"/>
        </w:rPr>
        <w:t>LinUCB [9] uses disjoint per-task A and b statistics on a 15-dimensional patient context, with alpha=1.0. SAPS adds a Beta safety distribution per task and scores S(a) = r_ucb(a) + tau_safe * s_a, where s_a is sampled from Beta(alpha_a,beta_a) and tau_safe=2.0. The reward term is a deterministic LinUCB UCB score, not a sampled Gaussian reward posterior. Each chosen task receives a Bernoulli safety observation defined by pain_change &lt;= 1.0. Beta parameters are task-indexed and shared across users; blocked tasks have no post-hoc observation. SAPS gates delivered output by feasible IDs, but its IER/penalty ranking bypasses that gate through select_raw_topk. The modified NeuralUCB reference uses hidden_dim=32, epochs=5, alpha=0.01 and safety_lambda=3.0. Its score is a shared network prediction plus per-arm mean reward and Gaussian exploration noise. The shared prediction cancels in ranking, so it is a limited arm-statistics heuristic, not original gradient-UCB [17]. Popularity ranks historical mean reward; epsilon-greedy uses epsilon=0.10. RuleBased assigns identical scores to all candidate IDs and relies on input order for ties. Random assigns random scores. These limitations qualify comparative claims.</w:t>
      </w:r>
    </w:p>
    <w:p>
      <w:pPr>
        <w:pStyle w:val="Heading2"/>
        <w:widowControl/>
        <w:spacing w:line="240" w:lineRule="auto"/>
      </w:pPr>
      <w:r>
        <w:rPr>
          <w:rFonts w:ascii="Arial" w:hAnsi="Arial" w:eastAsia="Arial" w:cs="Arial"/>
          <w:b/>
          <w:color w:val="000000"/>
          <w:sz w:val="22"/>
        </w:rPr>
        <w:t>4.4 Two-layer Safety Framework (56 rules)</w:t>
      </w:r>
    </w:p>
    <w:p>
      <w:pPr>
        <w:widowControl/>
        <w:spacing w:line="240" w:lineRule="auto"/>
      </w:pPr>
      <w:r>
        <w:rPr>
          <w:rFonts w:ascii="Arial" w:hAnsi="Arial" w:eastAsia="Arial" w:cs="Arial"/>
          <w:color w:val="000000"/>
          <w:sz w:val="22"/>
        </w:rPr>
        <w:t>The safety assets have two layers: five executed pre-filter predicates (PF_R1-PF_R5) and 51 design-time JSON definitions. Table 4.1 states the actual pre-filter conditions. Layer B consists of 16 contraindication, nine dosage, six fatigue, ten crisis and ten progression definitions. It must not be described as 51 additional predicates executed on every task. Post_check reads a dosage_limits key absent from the current JSON and therefore uses defaults. Crisis definitions support an interactive crisis path, while progression has an API but is not called by the main simulation. The study's post-hoc safety analysis is bounded to the five runtime predicates.</w:t>
      </w:r>
    </w:p>
    <w:p>
      <w:pPr>
        <w:keepNext/>
        <w:widowControl/>
        <w:spacing w:line="240" w:lineRule="auto"/>
      </w:pPr>
      <w:r>
        <w:rPr>
          <w:rFonts w:ascii="Arial" w:hAnsi="Arial" w:eastAsia="Arial" w:cs="Arial"/>
          <w:color w:val="000000"/>
          <w:sz w:val="22"/>
        </w:rPr>
        <w:t>Table 4.1 Runtime pre filter predicates in safety_agent.py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80"/>
        <w:gridCol w:w="5472"/>
      </w:tblGrid>
      <w:tr>
        <w:trPr>
          <w:cantSplit/>
          <w:tblHeader/>
        </w:trPr>
        <w:tc>
          <w:tcPr>
            <w:tcW w:type="dxa" w:w="115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Rule</w:t>
            </w:r>
          </w:p>
        </w:tc>
        <w:tc>
          <w:tcPr>
            <w:tcW w:type="dxa" w:w="28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Semantics</w:t>
            </w:r>
          </w:p>
        </w:tc>
        <w:tc>
          <w:tcPr>
            <w:tcW w:type="dxa" w:w="547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Implemented predicate</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PF_R1</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Contraindication tag overlap</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user_contras ∩ task_contras ≠ ∅</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PF_R2</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Rehab stage mismatch</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task_stages ≠ ∅ ∧ user_stage ∉ task_stages</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PF_R3</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High pain + high difficulty</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pain ≥ 7 ∧ difficulty ≥ 4</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PF_R4</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Severe fatigue on non-restorative</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fatigue ≥ 8 ∧ category ∉ {rest, flexibility}</w:t>
            </w:r>
          </w:p>
        </w:tc>
      </w:tr>
      <w:tr>
        <w:trPr>
          <w:cantSplit/>
        </w:trPr>
        <w:tc>
          <w:tcPr>
            <w:tcW w:type="dxa" w:w="115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PF_R5</w:t>
            </w:r>
          </w:p>
        </w:tc>
        <w:tc>
          <w:tcPr>
            <w:tcW w:type="dxa" w:w="288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Low ROM pre-strength clearance</w:t>
            </w:r>
          </w:p>
        </w:tc>
        <w:tc>
          <w:tcPr>
            <w:tcW w:type="dxa" w:w="547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rom &lt; 60 ∧ (difficulty ≥ 3 ∨ category = cardio)</w:t>
            </w:r>
          </w:p>
        </w:tc>
      </w:tr>
    </w:tbl>
    <w:p>
      <w:pPr>
        <w:widowControl/>
        <w:spacing w:line="240" w:lineRule="auto"/>
      </w:pPr>
      <w:r>
        <w:rPr>
          <w:rFonts w:ascii="Arial" w:hAnsi="Arial" w:eastAsia="Arial" w:cs="Arial"/>
          <w:color w:val="000000"/>
          <w:sz w:val="22"/>
        </w:rPr>
        <w:t>Each pre-filter rule has a drop_rule ablation hook, allowing a one-rule removal without rewriting the rule chain. Clinical references [8,16] provide context for the authored assets, not evidence that the full JSON set implements complete post-operative protocols. Kuhn [8] concerns rotator-cuff impingement and cannot substitute for a complete surgical-repair guideline. Any patient-facing deployment would require clinical review of both rules and task metadata.</w:t>
      </w:r>
    </w:p>
    <w:p>
      <w:pPr>
        <w:pStyle w:val="Heading2"/>
        <w:widowControl/>
        <w:spacing w:line="240" w:lineRule="auto"/>
      </w:pPr>
      <w:r>
        <w:rPr>
          <w:rFonts w:ascii="Arial" w:hAnsi="Arial" w:eastAsia="Arial" w:cs="Arial"/>
          <w:b/>
          <w:color w:val="000000"/>
          <w:sz w:val="22"/>
        </w:rPr>
        <w:t>4.5 Narrator (v1.3.2)</w:t>
      </w:r>
    </w:p>
    <w:p>
      <w:pPr>
        <w:widowControl/>
        <w:spacing w:line="240" w:lineRule="auto"/>
      </w:pPr>
      <w:r>
        <w:rPr>
          <w:rFonts w:ascii="Arial" w:hAnsi="Arial"/>
          <w:color w:val="000000"/>
        </w:rPr>
        <w:t>Narrator v1.3.2 reads authored arcs and tone templates. speak() frames recommendations and say_daily_closing() acknowledges the day. Base tones are doctor, coach and companion, with transition mixing, emotional overrides and safety-trigger variants. Slots are validated; missing slots increment a fallback counter. In the benchmark, safety_followup uses the infeasible-top-k signal, not every pre-filter exclusion. Condition-name and day-zero fallbacks remain disclosed in Section 6. The new agent alone maps profile conditions to authored arc keys and uses one-based narrative days. Neither change alters benchmark evidence. Narrator rendering remains template-based and does not call an LLM; the separate controller uses an LLM for understanding and tool selection.</w:t>
      </w:r>
    </w:p>
    <w:p>
      <w:pPr>
        <w:pStyle w:val="Heading2"/>
        <w:widowControl/>
        <w:spacing w:line="240" w:lineRule="auto"/>
      </w:pPr>
      <w:r>
        <w:rPr>
          <w:rFonts w:ascii="Arial" w:hAnsi="Arial" w:eastAsia="Arial" w:cs="Arial"/>
          <w:b/>
          <w:color w:val="000000"/>
          <w:sz w:val="22"/>
        </w:rPr>
        <w:t>4.6 Reward Composer and integration invariants</w:t>
      </w:r>
    </w:p>
    <w:p>
      <w:pPr>
        <w:widowControl/>
        <w:spacing w:line="240" w:lineRule="auto"/>
      </w:pPr>
      <w:r>
        <w:rPr>
          <w:rFonts w:ascii="Arial" w:hAnsi="Arial" w:eastAsia="Arial" w:cs="Arial"/>
          <w:color w:val="000000"/>
          <w:sz w:val="22"/>
        </w:rPr>
        <w:t>The scalar reward is a weighted combination of completion (0.35), pain-based safety (0.25), difficulty match (0.20), pain penalty term (0.10), dropout term (0.05) and category match (0.05). It is distinct from the expected utility used to sample user choice. Infeasible proposed tasks receive separate negative recommender updates with effective_lambda = configured safety_lambda times an arc multiplier of 1.5, 1.0 or 0.7. This coefficient is not learned. The pipeline tracks acceptance/skip/no-interaction flags to construct one daily closing, and validates narrator slots. Narrative quality is evaluated externally rather than included in the scalar reward.</w:t>
      </w:r>
    </w:p>
    <w:p>
      <w:pPr>
        <w:pStyle w:val="Heading2"/>
        <w:widowControl/>
        <w:spacing w:line="240" w:lineRule="auto"/>
      </w:pPr>
      <w:r>
        <w:rPr>
          <w:rFonts w:ascii="Arial" w:hAnsi="Arial" w:eastAsia="Arial" w:cs="Arial"/>
          <w:b/>
          <w:color w:val="000000"/>
          <w:sz w:val="22"/>
        </w:rPr>
        <w:t>4.7 Implementation summary</w:t>
      </w:r>
    </w:p>
    <w:p>
      <w:pPr>
        <w:widowControl/>
        <w:spacing w:line="240" w:lineRule="auto"/>
      </w:pPr>
      <w:r>
        <w:rPr>
          <w:rFonts w:ascii="Arial" w:hAnsi="Arial"/>
          <w:color w:val="000000"/>
        </w:rPr>
        <w:t>Experiments use seed 42, pinned NumPy/SciPy/CPU PyTorch and fixed hyperparameters. Active models are src/agents/recommender.py and src/policies/saps.py; src/models is not the formal factory. The main shortlist has three tasks; IER uses five proposals. Runner overrides take precedence over defaults. Learning is online, with no pretrained benchmark download. The agent lives in narracare/conversation, with CLI narracare.agent and Gradio narracare.agent_app. Optional UI requirements are separate. A fresh session has its own learner; its rewards and scores are not the shared 20-persona benchmark estimates.</w:t>
      </w:r>
    </w:p>
    <w:p>
      <w:pPr>
        <w:pStyle w:val="Heading1"/>
        <w:widowControl/>
        <w:spacing w:line="240" w:lineRule="auto"/>
      </w:pPr>
      <w:r>
        <w:rPr>
          <w:rFonts w:ascii="Arial" w:hAnsi="Arial" w:eastAsia="Arial" w:cs="Arial"/>
          <w:b/>
          <w:color w:val="000000"/>
          <w:sz w:val="22"/>
        </w:rPr>
        <w:t>5. Experimental Setup and Results</w:t>
      </w:r>
    </w:p>
    <w:p>
      <w:pPr>
        <w:pStyle w:val="Heading2"/>
        <w:widowControl/>
        <w:spacing w:line="240" w:lineRule="auto"/>
      </w:pPr>
      <w:r>
        <w:rPr>
          <w:rFonts w:ascii="Arial" w:hAnsi="Arial" w:eastAsia="Arial" w:cs="Arial"/>
          <w:b/>
          <w:color w:val="000000"/>
          <w:sz w:val="22"/>
        </w:rPr>
        <w:t>5.1 Experimental protocol</w:t>
      </w:r>
    </w:p>
    <w:p>
      <w:pPr>
        <w:widowControl/>
        <w:spacing w:line="240" w:lineRule="auto"/>
      </w:pPr>
      <w:r>
        <w:rPr>
          <w:rFonts w:ascii="Arial" w:hAnsi="Arial"/>
          <w:color w:val="000000"/>
          <w:sz w:val="22"/>
        </w:rPr>
        <w:t>The main setting is 60 days x 20 personas, using the same input cohort, catalogue and runtime safety predicates across seven policies. Each policy has a seeded run, but realized random draws need not align. One model is shared across personas. We report acceptance, mean cumulative reward, ungated IER, five-rule SVR and task-ID coverage. The two regenerated paired comparison artifacts summarize per-person reward/IER for SAPS versus LinUCB and modified NeuralUCB. Their p-values are exploratory fixed-cohort statistics. For a conservative reading we also note the earlier seven-comparison threshold 0.05/7=0.00714; no independently repeated-run inference is claimed.</w:t>
      </w:r>
    </w:p>
    <w:p>
      <w:pPr>
        <w:pStyle w:val="Heading2"/>
        <w:widowControl/>
        <w:spacing w:line="240" w:lineRule="auto"/>
      </w:pPr>
      <w:r>
        <w:rPr>
          <w:rFonts w:ascii="Arial" w:hAnsi="Arial" w:eastAsia="Arial" w:cs="Arial"/>
          <w:b/>
          <w:color w:val="000000"/>
          <w:sz w:val="22"/>
        </w:rPr>
        <w:t>5.2 Main result — 60-day full horizon</w:t>
      </w:r>
    </w:p>
    <w:p>
      <w:pPr>
        <w:keepNext/>
        <w:widowControl/>
        <w:spacing w:line="240" w:lineRule="auto"/>
      </w:pPr>
      <w:r>
        <w:rPr>
          <w:rFonts w:ascii="Arial" w:hAnsi="Arial" w:eastAsia="Arial" w:cs="Arial"/>
          <w:color w:val="000000"/>
          <w:sz w:val="22"/>
        </w:rPr>
        <w:t>Table 5.1 Recorded 60 day summaries for 20 synthetic personas at seed 42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40"/>
        <w:gridCol w:w="2304"/>
        <w:gridCol w:w="1080"/>
        <w:gridCol w:w="1080"/>
        <w:gridCol w:w="1440"/>
      </w:tblGrid>
      <w:tr>
        <w:trPr>
          <w:cantSplit/>
          <w:tblHeader/>
        </w:trPr>
        <w:tc>
          <w:tcPr>
            <w:tcW w:type="dxa" w:w="172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Policy</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Acceptance</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Cum. Reward</w:t>
            </w:r>
          </w:p>
        </w:tc>
        <w:tc>
          <w:tcPr>
            <w:tcW w:type="dxa" w:w="10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SVR*</w:t>
            </w:r>
          </w:p>
        </w:tc>
        <w:tc>
          <w:tcPr>
            <w:tcW w:type="dxa" w:w="10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IER*</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Coverage</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SAPS</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0.6158</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42.0182 ± 3.0136</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0.0223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0.3483</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LinUCB</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0.6192</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41.9395 ± 3.0015</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0.0233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0.3908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NeuralUCB modified</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0.4942</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38.31</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0.0022</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Random</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0.7033</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45.94</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0.4082</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0.6308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Popularity</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0.5184</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39.03</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0.0127</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0.0708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RuleBased</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0.6000</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43.33</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0.3257</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0.0791</w:t>
            </w:r>
          </w:p>
        </w:tc>
      </w:tr>
      <w:tr>
        <w:trPr>
          <w:cantSplit/>
        </w:trPr>
        <w:tc>
          <w:tcPr>
            <w:tcW w:type="dxa" w:w="172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ε-Greedy</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0.5825</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40.95</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0.0503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0.2317</w:t>
            </w:r>
          </w:p>
        </w:tc>
      </w:tr>
    </w:tbl>
    <w:p>
      <w:pPr>
        <w:widowControl/>
        <w:spacing w:line="240" w:lineRule="auto"/>
      </w:pPr>
      <w:r>
        <w:rPr>
          <w:rFonts w:ascii="Arial" w:hAnsi="Arial"/>
          <w:color w:val="000000"/>
          <w:sz w:val="22"/>
        </w:rPr>
        <w:t>* SVR uses accepted-task five-rule observations and per-person averaging. IER uses ungated top-5 proposals. Coverage is unique chosen task IDs / interactions. The reward standard deviation is across personas. Sources are the current policy-named JSON files under evaluation/results/; default demo settings differ from formal NeuralUCB settings.</w:t>
      </w:r>
    </w:p>
    <w:p>
      <w:pPr>
        <w:widowControl/>
        <w:spacing w:line="240" w:lineRule="auto"/>
      </w:pPr>
      <w:r>
        <w:rPr>
          <w:rFonts w:ascii="Arial" w:hAnsi="Arial"/>
          <w:color w:val="000000"/>
          <w:sz w:val="22"/>
        </w:rPr>
        <w:t>SAPS records 42.0182 +/- 3.0136 reward versus LinUCB 41.9395 +/- 3.0015. The paired difference is +0.0787, t(19)=0.3328, p=0.7429, 95% CI [-0.4163,0.5737], paired d=0.0744. The IER difference is -0.0010, p=0.6295. Neither comparison supports an advantage over LinUCB. Against modified NeuralUCB, reward difference is +3.7046 (p=1.01e-06), but SAPS has higher IER by 0.02017 (p=1.88e-06). Random has the highest reward in the main table. The repaired path activates existing penalties on ungated infeasible proposals, so earlier gated-version reward figures do not describe this implementation. No independent Beta-only causal effect is established.</w:t>
      </w:r>
    </w:p>
    <w:p>
      <w:pPr>
        <w:pStyle w:val="Heading3"/>
        <w:widowControl/>
        <w:spacing w:line="240" w:lineRule="auto"/>
      </w:pPr>
      <w:r>
        <w:rPr>
          <w:rFonts w:ascii="Arial" w:hAnsi="Arial" w:eastAsia="Arial" w:cs="Arial"/>
          <w:b/>
          <w:color w:val="000000"/>
          <w:sz w:val="22"/>
        </w:rPr>
        <w:t>5.2.1 Statistical testing protocol</w:t>
      </w:r>
    </w:p>
    <w:p>
      <w:pPr>
        <w:widowControl/>
        <w:spacing w:line="240" w:lineRule="auto"/>
      </w:pPr>
      <w:r>
        <w:rPr>
          <w:rFonts w:ascii="Arial" w:hAnsi="Arial" w:eastAsia="Arial" w:cs="Arial"/>
          <w:color w:val="000000"/>
          <w:sz w:val="22"/>
        </w:rPr>
        <w:t>Pairing uses per-person cumulative reward or mean IER, with n=20 and df=19; it avoids treating autocorrelated daily steps as independent observations. However, the per-person trajectories still share an online learner, so independence is not guaranteed. A single simulator RNG is consumed across users, and policy-dependent draw counts prevent common realized noise from being assumed. Consequently the paired p-values, intervals and effect sizes are reported as exploratory fixed-cohort statistics. They do not establish real-world significance, multi-seed robustness or clinical efficacy. Additional independent rollouts and better-aligned baselines would be needed for those claims.</w:t>
      </w:r>
    </w:p>
    <w:p>
      <w:pPr>
        <w:pStyle w:val="Heading2"/>
        <w:widowControl/>
        <w:spacing w:line="240" w:lineRule="auto"/>
      </w:pPr>
      <w:r>
        <w:rPr>
          <w:rFonts w:ascii="Arial" w:hAnsi="Arial" w:eastAsia="Arial" w:cs="Arial"/>
          <w:b/>
          <w:color w:val="000000"/>
          <w:sz w:val="22"/>
        </w:rPr>
        <w:t>5.3 Policy behavior and posterior observations</w:t>
      </w:r>
    </w:p>
    <w:p>
      <w:pPr>
        <w:widowControl/>
        <w:spacing w:line="240" w:lineRule="auto"/>
      </w:pPr>
      <w:r>
        <w:rPr>
          <w:rFonts w:ascii="Arial" w:hAnsi="Arial"/>
          <w:color w:val="000000"/>
          <w:sz w:val="22"/>
        </w:rPr>
        <w:t>The current SAPS run moves 57 task safety posteriors away from their Beta(1,1) priors. Examples are T065 (97,1), T093 (91,1), T094 (85,1), T092 (82,1). These chosen-task observations verify the feedback hook, not a causal advantage from the bonus. Blocked tasks have no post-hoc S2 observation. SAPS's ungated IER is 0.0223, while normal recommendations retain the output gate. The safety-learning signal and negative infeasible-arm updates act together. Random has higher reward (45.94 versus 42.02), motivating caution about algorithmic superiority in this simulator.</w:t>
      </w:r>
    </w:p>
    <w:p>
      <w:pPr>
        <w:pStyle w:val="Heading2"/>
        <w:widowControl/>
        <w:spacing w:line="240" w:lineRule="auto"/>
      </w:pPr>
      <w:r>
        <w:rPr>
          <w:rFonts w:ascii="Arial" w:hAnsi="Arial" w:eastAsia="Arial" w:cs="Arial"/>
          <w:b/>
          <w:color w:val="000000"/>
          <w:sz w:val="22"/>
        </w:rPr>
        <w:t>5.4 Ablations</w:t>
      </w:r>
    </w:p>
    <w:p>
      <w:pPr>
        <w:pStyle w:val="Heading3"/>
        <w:widowControl/>
        <w:spacing w:line="240" w:lineRule="auto"/>
      </w:pPr>
      <w:r>
        <w:rPr>
          <w:rFonts w:ascii="Arial" w:hAnsi="Arial" w:eastAsia="Arial" w:cs="Arial"/>
          <w:b/>
          <w:color w:val="000000"/>
          <w:sz w:val="22"/>
        </w:rPr>
        <w:t>5.4.1 Neural reference variants</w:t>
      </w:r>
    </w:p>
    <w:p>
      <w:pPr>
        <w:widowControl/>
        <w:spacing w:line="240" w:lineRule="auto"/>
      </w:pPr>
      <w:r>
        <w:rPr>
          <w:rFonts w:ascii="Arial" w:hAnsi="Arial" w:eastAsia="Arial" w:cs="Arial"/>
          <w:color w:val="000000"/>
          <w:sz w:val="22"/>
        </w:rPr>
        <w:t>The retained NeuralUCB variant comparison contrasts a historical shared-context implementation without useful per-arm discrimination and a version with per-arm reward statistics plus a safety warm-start. Formal settings are hidden_dim=32, epochs=5, alpha=0.01, safety_lambda=3.0 and seed=42. The scoring logic and warm-start change together, so this comparison does not isolate a neural representation benefit. Both versions use explicit seeds in the current runner, but cross-machine floating-point identity is not assumed.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2160"/>
        <w:gridCol w:w="259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Variant</w:t>
            </w:r>
          </w:p>
        </w:tc>
        <w:tc>
          <w:tcPr>
            <w:tcW w:type="dxa" w:w="187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Cum. Reward</w:t>
            </w:r>
          </w:p>
        </w:tc>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IER</w:t>
            </w:r>
          </w:p>
        </w:tc>
        <w:tc>
          <w:tcPr>
            <w:tcW w:type="dxa" w:w="259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Interpretation</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NeuralUCB pre-fix (broken)</w:t>
            </w:r>
          </w:p>
        </w:tc>
        <w:tc>
          <w:tcPr>
            <w:tcW w:type="dxa" w:w="187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46.38</w:t>
            </w:r>
          </w:p>
        </w:tc>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0.408</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 Random</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Random baseline</w:t>
            </w:r>
          </w:p>
        </w:tc>
        <w:tc>
          <w:tcPr>
            <w:tcW w:type="dxa" w:w="187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45.94</w:t>
            </w:r>
          </w:p>
        </w:tc>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0.4082</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reference</w:t>
            </w:r>
          </w:p>
        </w:tc>
      </w:tr>
      <w:tr>
        <w:trPr>
          <w:cantSplit/>
        </w:trPr>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NeuralUCB post-fix</w:t>
            </w:r>
          </w:p>
        </w:tc>
        <w:tc>
          <w:tcPr>
            <w:tcW w:type="dxa" w:w="187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38.31</w:t>
            </w:r>
          </w:p>
        </w:tc>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0.0022</w:t>
            </w:r>
          </w:p>
        </w:tc>
        <w:tc>
          <w:tcPr>
            <w:tcW w:type="dxa" w:w="259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safety-aware per-arm</w:t>
            </w:r>
          </w:p>
        </w:tc>
      </w:tr>
    </w:tbl>
    <w:p>
      <w:pPr>
        <w:widowControl/>
        <w:spacing w:line="240" w:lineRule="auto"/>
      </w:pPr>
      <w:r>
        <w:rPr>
          <w:rFonts w:ascii="Arial" w:hAnsi="Arial" w:eastAsia="Arial" w:cs="Arial"/>
          <w:color w:val="000000"/>
          <w:sz w:val="22"/>
        </w:rPr>
        <w:t>The stored change is reward -8.07 and IER -0.406, with the historical version near Random on recorded IER. This indicates that arm statistics and warm-start alter behavior in this setup. The current neural context term still cancels in ranking, so the comparison cannot support a claim that learned neural context caused improved safety. A stronger neural contextual baseline remains future work.</w:t>
      </w:r>
    </w:p>
    <w:p>
      <w:pPr>
        <w:pStyle w:val="Heading3"/>
        <w:widowControl/>
        <w:spacing w:line="240" w:lineRule="auto"/>
      </w:pPr>
      <w:r>
        <w:rPr>
          <w:rFonts w:ascii="Arial" w:hAnsi="Arial" w:eastAsia="Arial" w:cs="Arial"/>
          <w:b/>
          <w:color w:val="000000"/>
          <w:sz w:val="22"/>
        </w:rPr>
        <w:t>5.4.2 Safety Agent isolation (NoSafety ablation)</w:t>
      </w:r>
    </w:p>
    <w:p>
      <w:pPr>
        <w:widowControl/>
        <w:spacing w:line="240" w:lineRule="auto"/>
      </w:pPr>
      <w:r>
        <w:rPr>
          <w:rFonts w:ascii="Arial" w:hAnsi="Arial"/>
          <w:color w:val="000000"/>
          <w:sz w:val="22"/>
        </w:rPr>
        <w:t>LinUCB-NoSafety disables runtime Safety while retaining the emotional difficulty cap. The new log auditor still checks accepted tasks against all five pre-filter predicates. Dedicated replay in evaluation/nosafety_svr_full.py independently applies those predicates. The formal summary is a per-person mean, whereas the dedicated replay pools accepted tasks.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2304"/>
        <w:gridCol w:w="151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Variant</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Acceptance</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Reward</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SVR (post-hoc)</w:t>
            </w:r>
          </w:p>
        </w:tc>
        <w:tc>
          <w:tcPr>
            <w:tcW w:type="dxa" w:w="151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Diversity</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LinUCB filter on</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0.619</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41.94</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0.0000 (0/743)</w:t>
            </w:r>
          </w:p>
        </w:tc>
        <w:tc>
          <w:tcPr>
            <w:tcW w:type="dxa" w:w="151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w:t>
            </w:r>
          </w:p>
        </w:tc>
      </w:tr>
      <w:tr>
        <w:trPr>
          <w:cantSplit/>
        </w:trPr>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LinUCB-NoSafety</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0.643</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42.59</w:t>
            </w:r>
          </w:p>
        </w:tc>
        <w:tc>
          <w:tcPr>
            <w:tcW w:type="dxa" w:w="2304"/>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0.2215 (171/772)</w:t>
            </w:r>
          </w:p>
        </w:tc>
        <w:tc>
          <w:tcPr>
            <w:tcW w:type="dxa" w:w="151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0.5917</w:t>
            </w:r>
          </w:p>
        </w:tc>
      </w:tr>
    </w:tbl>
    <w:p>
      <w:pPr>
        <w:widowControl/>
        <w:spacing w:line="240" w:lineRule="auto"/>
      </w:pPr>
      <w:r>
        <w:rPr>
          <w:rFonts w:ascii="Arial" w:hAnsi="Arial"/>
          <w:color w:val="000000"/>
          <w:sz w:val="22"/>
        </w:rPr>
        <w:t>NoSafety yields 171 violating accepted tasks out of 772, pooled SVR=0.2215; WithSafety has 0/743. The formal NoSafety per-person mean is 0.2181 because user acceptance counts differ. PF_R2 catches 154, PF_R1 26 and PF_R4 14; PF_R1/PF_R2 overlap on 23, giving 171 unique violations. PF_R3 is masked by the emotional cap and PF_R5 is not exercised by the observed ROM range [83.9,180.0]. Reward changes from 41.94 to 42.59 and acceptance from 0.619 to 0.643. This supports runtime filtering for these simulated predicates, not comprehensive clinical safety. NoSafety IER uses a changed feasible set and is not directly comparable to filter-on IER.</w:t>
      </w:r>
    </w:p>
    <w:p>
      <w:pPr>
        <w:pStyle w:val="Heading2"/>
        <w:widowControl/>
        <w:spacing w:line="240" w:lineRule="auto"/>
      </w:pPr>
      <w:r>
        <w:rPr>
          <w:rFonts w:ascii="Arial" w:hAnsi="Arial" w:eastAsia="Arial" w:cs="Arial"/>
          <w:b/>
          <w:color w:val="000000"/>
          <w:sz w:val="22"/>
        </w:rPr>
        <w:t>5.5 Narrator — invariants + LLM-as-judge</w:t>
      </w:r>
    </w:p>
    <w:p>
      <w:pPr>
        <w:widowControl/>
        <w:spacing w:line="240" w:lineRule="auto"/>
      </w:pPr>
      <w:r>
        <w:rPr>
          <w:rFonts w:ascii="Arial" w:hAnsi="Arial" w:eastAsia="Arial" w:cs="Arial"/>
          <w:color w:val="000000"/>
          <w:sz w:val="22"/>
        </w:rPr>
        <w:t>The 60-day LinUCB run records 2,400 template-render calls: 1,200 speak() calls and 1,200 daily closings. Corrected diagnostic evidence is in narrator_invariants_v2_60day_seed42.json. Required-slot fallback is zero. The difficulty-cap check reports no violations. Closing consistency has TP=88, FP=0, FN=0 and TN=1,112 against the pipeline's logged safety flag. This last result verifies flag-to-template wiring; it is not an independent validation of every pre-filter removal or clinical appropriateness.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448"/>
        <w:gridCol w:w="4176"/>
        <w:gridCol w:w="1728"/>
      </w:tblGrid>
      <w:tr>
        <w:trPr>
          <w:cantSplit/>
          <w:tblHeader/>
        </w:trPr>
        <w:tc>
          <w:tcPr>
            <w:tcW w:type="dxa" w:w="576"/>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w:t>
            </w:r>
          </w:p>
        </w:tc>
        <w:tc>
          <w:tcPr>
            <w:tcW w:type="dxa" w:w="244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Invariant</w:t>
            </w:r>
          </w:p>
        </w:tc>
        <w:tc>
          <w:tcPr>
            <w:tcW w:type="dxa" w:w="4176"/>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Measurement</w:t>
            </w:r>
          </w:p>
        </w:tc>
        <w:tc>
          <w:tcPr>
            <w:tcW w:type="dxa" w:w="172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Verdict</w:t>
            </w:r>
          </w:p>
        </w:tc>
      </w:tr>
      <w:tr>
        <w:trPr>
          <w:cantSplit/>
        </w:trPr>
        <w:tc>
          <w:tcPr>
            <w:tcW w:type="dxa" w:w="5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I1</w:t>
            </w:r>
          </w:p>
        </w:tc>
        <w:tc>
          <w:tcPr>
            <w:tcW w:type="dxa" w:w="244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Zero _REQUIRED_KEYS fallbacks</w:t>
            </w:r>
          </w:p>
        </w:tc>
        <w:tc>
          <w:tcPr>
            <w:tcW w:type="dxa" w:w="41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fallback_counter == {} on 2,400 calls</w:t>
            </w:r>
          </w:p>
        </w:tc>
        <w:tc>
          <w:tcPr>
            <w:tcW w:type="dxa" w:w="172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PASS (0/2,400)</w:t>
            </w:r>
          </w:p>
        </w:tc>
      </w:tr>
      <w:tr>
        <w:trPr>
          <w:cantSplit/>
        </w:trPr>
        <w:tc>
          <w:tcPr>
            <w:tcW w:type="dxa" w:w="5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I2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Emotional difficulty cap</w:t>
            </w:r>
          </w:p>
        </w:tc>
        <w:tc>
          <w:tcPr>
            <w:tcW w:type="dxa" w:w="4176"/>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No recorded red/yellow cap violations</w:t>
            </w:r>
          </w:p>
        </w:tc>
        <w:tc>
          <w:tcPr>
            <w:tcW w:type="dxa" w:w="172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PASS (0 violations)</w:t>
            </w:r>
          </w:p>
        </w:tc>
      </w:tr>
      <w:tr>
        <w:trPr>
          <w:cantSplit/>
        </w:trPr>
        <w:tc>
          <w:tcPr>
            <w:tcW w:type="dxa" w:w="576"/>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I3</w:t>
            </w:r>
          </w:p>
        </w:tc>
        <w:tc>
          <w:tcPr>
            <w:tcW w:type="dxa" w:w="244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Logged flag matches safety_followup</w:t>
            </w:r>
          </w:p>
        </w:tc>
        <w:tc>
          <w:tcPr>
            <w:tcW w:type="dxa" w:w="4176"/>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TP=88 FP=0 FN=0 TN=1,112</w:t>
            </w:r>
          </w:p>
        </w:tc>
        <w:tc>
          <w:tcPr>
            <w:tcW w:type="dxa" w:w="1728"/>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PASS (r = 1.000)</w:t>
            </w:r>
          </w:p>
        </w:tc>
      </w:tr>
    </w:tbl>
    <w:p>
      <w:pPr>
        <w:widowControl/>
        <w:spacing w:line="240" w:lineRule="auto"/>
      </w:pPr>
      <w:r>
        <w:rPr>
          <w:rFonts w:ascii="Arial" w:hAnsi="Arial" w:eastAsia="Arial" w:cs="Arial"/>
          <w:color w:val="000000"/>
          <w:sz w:val="22"/>
        </w:rPr>
        <w:t>A stored gpt-4o-mini judge run scores 60 stratified samples on Coherence, Empathy and Clinical Fidelity, requested temperature=0 and seed=42. The run has 0/60 failures and cost $0.0069 for 22,547 prompt and 5,937 completion tokens. Means and 95% CI half-widths are 4.82 +/- 0.11, 4.15 +/- 0.14 and 4.72 +/- 0.15. These descriptive intervals concern a fixed, template-heavy sample, not an independent patient population. Raw samples, scores and aggregation inputs remain committed. Later remote calls are not guaranteed identical; offline aggregation of the stored scores is reproducible.</w:t>
      </w:r>
    </w:p>
    <w:p>
      <w:pPr>
        <w:pStyle w:val="Heading1"/>
        <w:widowControl/>
        <w:spacing w:line="240" w:lineRule="auto"/>
      </w:pPr>
      <w:r>
        <w:rPr>
          <w:rFonts w:ascii="Arial" w:hAnsi="Arial" w:eastAsia="Arial" w:cs="Arial"/>
          <w:b/>
          <w:color w:val="000000"/>
          <w:sz w:val="22"/>
        </w:rPr>
        <w:t>6. Discussion</w:t>
      </w:r>
    </w:p>
    <w:p>
      <w:pPr>
        <w:pStyle w:val="Heading2"/>
        <w:widowControl/>
        <w:spacing w:line="240" w:lineRule="auto"/>
      </w:pPr>
      <w:r>
        <w:rPr>
          <w:rFonts w:ascii="Arial" w:hAnsi="Arial" w:eastAsia="Arial" w:cs="Arial"/>
          <w:b/>
          <w:color w:val="000000"/>
          <w:sz w:val="22"/>
        </w:rPr>
        <w:t>6.1 What the numbers say — and what they do not</w:t>
      </w:r>
    </w:p>
    <w:p>
      <w:pPr>
        <w:widowControl/>
        <w:spacing w:line="240" w:lineRule="auto"/>
      </w:pPr>
      <w:r>
        <w:rPr>
          <w:rFonts w:ascii="Arial" w:hAnsi="Arial"/>
          <w:color w:val="000000"/>
        </w:rPr>
        <w:t>NarraCare is a reference workflow for rehabilitation-technology teams inspecting where feasibility, learning and communication interact. A reviewer can trace restrictions before ranking, ungated infeasible proposals, and the task-to-explanation/closing path. NoSafety replay supports the implemented filter; paired comparisons do not establish SAPS superiority. Low SVR alone would conceal proposals caught by the output gate. This separation provides concrete diagnostics for adaptation to a clinically reviewed catalogue and locally approved constraints.</w:t>
      </w:r>
    </w:p>
    <w:p>
      <w:pPr>
        <w:pStyle w:val="Heading2"/>
        <w:widowControl/>
        <w:spacing w:line="240" w:lineRule="auto"/>
      </w:pPr>
      <w:r>
        <w:rPr>
          <w:rFonts w:ascii="Arial" w:hAnsi="Arial" w:eastAsia="Arial" w:cs="Arial"/>
          <w:b/>
          <w:color w:val="000000"/>
          <w:sz w:val="22"/>
        </w:rPr>
        <w:t>6.2 Why Random remains competitive</w:t>
      </w:r>
    </w:p>
    <w:p>
      <w:pPr>
        <w:widowControl/>
        <w:spacing w:line="240" w:lineRule="auto"/>
      </w:pPr>
      <w:r>
        <w:rPr>
          <w:rFonts w:ascii="Arial" w:hAnsi="Arial"/>
          <w:color w:val="000000"/>
          <w:sz w:val="22"/>
        </w:rPr>
        <w:t>Random records higher reward than SAPS (45.94 versus 42.02), but also higher ungated IER (0.4082 versus 0.0223). The shared filter keeps both policies' accepted tasks feasible in this cohort. Random plus Safety therefore remains a credible simple comparator; our results do not establish that replacing it with SAPS improves patient outcomes or operating cost. IER makes a different question visible: how often would a policy propose tasks outside the feasible set before filtering? Evaluating that alongside reward and accepted-task SVR helps teams distinguish a policy that fits the current constraints from one whose feasible output depends heavily on the filter. Lower IER alone does not quantify clinician workload savings.</w:t>
      </w:r>
    </w:p>
    <w:p>
      <w:pPr>
        <w:pStyle w:val="Heading2"/>
        <w:widowControl/>
        <w:spacing w:line="240" w:lineRule="auto"/>
      </w:pPr>
      <w:r>
        <w:rPr>
          <w:rFonts w:ascii="Arial" w:hAnsi="Arial" w:eastAsia="Arial" w:cs="Arial"/>
          <w:b/>
          <w:color w:val="000000"/>
          <w:sz w:val="22"/>
        </w:rPr>
        <w:t>6.3 Threats to validity</w:t>
      </w:r>
    </w:p>
    <w:p>
      <w:pPr>
        <w:widowControl/>
        <w:spacing w:line="240" w:lineRule="auto"/>
      </w:pPr>
      <w:r>
        <w:rPr>
          <w:rFonts w:ascii="Arial" w:hAnsi="Arial"/>
          <w:color w:val="000000"/>
        </w:rPr>
        <w:t>The simulator uses authored personas, simplified outcomes and the completed-counter issue in Section 4.2. A shared learner and sequential RNG create dependence and unequal realized noise across policies. Safety coverage is bounded to executed predicates; PF_R3 is masked and PF_R5 unexercised in the main distribution. In the benchmark, long condition names fall back to ACL; day0 resolves to act3, producing act3 -&gt; act1 -&gt; act2 -&gt; act3. Its closing safety flag is IER-derived. These retained limitations do not disappear because the new agent has a condition/day adapter. Narrative ratings use one external model on repeated templates. The agent's language interpretation and keyword crisis screening can fail; guards do not establish clinical safety. No clinician panel, user study, adherence gain or clinical effectiveness is established.</w:t>
      </w:r>
    </w:p>
    <w:p>
      <w:pPr>
        <w:pStyle w:val="Heading2"/>
        <w:widowControl/>
        <w:spacing w:line="240" w:lineRule="auto"/>
      </w:pPr>
      <w:r>
        <w:rPr>
          <w:rFonts w:ascii="Arial" w:hAnsi="Arial" w:eastAsia="Arial" w:cs="Arial"/>
          <w:b/>
          <w:color w:val="000000"/>
          <w:sz w:val="22"/>
        </w:rPr>
        <w:t>6.4 Design implications</w:t>
      </w:r>
    </w:p>
    <w:p>
      <w:pPr>
        <w:widowControl/>
        <w:spacing w:line="240" w:lineRule="auto"/>
      </w:pPr>
      <w:r>
        <w:rPr>
          <w:rFonts w:ascii="Arial" w:hAnsi="Arial"/>
          <w:color w:val="000000"/>
        </w:rPr>
        <w:t>The prototype separates feasibility, reward estimation, pain-based feedback and narrative presentation. Ungated IER exposes proposals before the output gate; accepted-task SVR measures execution under five predicates. The repaired proposal set also drives negative updates, so its repair changes learning. Beta and penalty contributions need separate ablations. In live interaction, actual reports replace behavioral simulation. Unknown ROM remains explicit with a conservative filtering proxy; an intention to try creates no outcome. A skipped day creates camp without invented reward or Beta feedback. Narrative day never promotes clinical stage.</w:t>
      </w:r>
    </w:p>
    <w:p>
      <w:pPr>
        <w:pStyle w:val="Heading1"/>
        <w:widowControl/>
        <w:spacing w:line="240" w:lineRule="auto"/>
      </w:pPr>
      <w:r>
        <w:rPr>
          <w:rFonts w:ascii="Arial" w:hAnsi="Arial" w:eastAsia="Arial" w:cs="Arial"/>
          <w:b/>
          <w:color w:val="000000"/>
          <w:sz w:val="22"/>
        </w:rPr>
        <w:t>7. System Demonstration and Additional Evaluation</w:t>
      </w:r>
    </w:p>
    <w:p>
      <w:pPr>
        <w:pStyle w:val="Heading2"/>
        <w:widowControl/>
        <w:spacing w:line="240" w:lineRule="auto"/>
      </w:pPr>
      <w:r>
        <w:rPr>
          <w:rFonts w:ascii="Arial" w:hAnsi="Arial" w:eastAsia="Arial" w:cs="Arial"/>
          <w:b/>
          <w:color w:val="000000"/>
          <w:sz w:val="22"/>
        </w:rPr>
        <w:t>7.1 System demonstration</w:t>
      </w:r>
    </w:p>
    <w:p>
      <w:pPr>
        <w:widowControl/>
        <w:spacing w:line="240" w:lineRule="auto"/>
      </w:pPr>
      <w:r>
        <w:rPr>
          <w:rFonts w:ascii="Arial" w:hAnsi="Arial"/>
          <w:color w:val="000000"/>
        </w:rPr>
        <w:t>The primary demo is a live Gradio ChatInterface with a right-hand state and tool-activity panel. Patient Alex and companion Pip travel through Misty Forest (days 1–15), Rocky Canyon (16–40) and Snowy Summit (41–60). Pip scouts, walks alongside and then leaves room for autonomy. Small milestones and shared camp express achievement without pressure to continue when tired. The backend retains doctor, coach and companion voices. State, task, SAPS S, actual candidate counts, tone and reward provenance remain visible. Preferences affect retrieval and ranking; replies are not prerecorded. Explicit reported completion advances a trail step and updates learning. Skip closes a day without a trail step or fabricated reward. Starting at a later story day creates no history or clinical-stage promotion. This design intends companionship and manageable effort; it has not demonstrated adherence benefits.</w:t>
      </w:r>
    </w:p>
    <w:p>
      <w:pPr>
        <w:widowControl/>
      </w:pPr>
      <w:r>
        <w:rPr>
          <w:rFonts w:ascii="Arial" w:hAnsi="Arial"/>
          <w:color w:val="000000"/>
        </w:rPr>
        <w:t>To run: tar xzf narracare_agent_submission.tar.gz; cd narracare_agent; python -m pip install -r requirements.txt -r requirements-agent.txt. Set OPENAI_API_KEY or NARRACARE_LLM_API_KEY securely in the environment, then run python -m narracare.agent_app --port 7860 and open the local URL printed by Gradio. The conversational CLI is python -m narracare.agent --user U001 --seed 42. GPT-4o-mini is the default OpenAI-compatible model. The live agent requires a provider key and network, never a scripted fallback. Use synthetic inputs: messages and session context go to the configured provider. No key is included in the archive.</w:t>
      </w:r>
    </w:p>
    <w:p>
      <w:pPr>
        <w:widowControl/>
      </w:pPr>
      <w:r>
        <w:rPr>
          <w:rFonts w:ascii="Arial" w:hAnsi="Arial"/>
          <w:color w:val="000000"/>
        </w:rPr>
        <w:t>A verified production-browser sequence asked for missing symptoms, received pain 3/fatigue 2/mood 7/ROM 110, recommended flexibility T017 after 100 -&gt; 77 safety filtering, then changed to balance T029 after a preference revision. An intention to try produced no reward. Explicit completion with after-pain 3, fatigue 3 and satisfaction 0.8 yielded reward 0.9401 and one trail step. Skip then created camp while retaining that reward. Eight real-provider smoke cases passed in one synthetic scripted sequence; 67 regression tests passed. These are engineering checks, not eight patient sessions or an agent-quality study. All 36 frozen result files retained their checksums. Tool contracts and the capability mapping are documented in docs/conversational_agent.md.</w:t>
      </w:r>
    </w:p>
    <w:p>
      <w:pPr>
        <w:widowControl/>
      </w:pPr>
      <w:r>
        <w:rPr>
          <w:rFonts w:ascii="Arial" w:hAnsi="Arial"/>
          <w:color w:val="000000"/>
        </w:rPr>
        <w:t>The offline fallback is unchanged: python -m narracare.demo --user U001 --days 60 --policy saps --seed 42 runs the frozen pipeline in a temporary-directory subprocess without overwriting results; --inspect shows definitions. The --compare table reads stored 20-persona/60-day aggregates, independently of the live trace arguments. Open demo/index.html for nine recorded trajectories without Python, network or a key. Its buttons change presentation only. This HTML replay is distinct from the live conversational demo. README contains Run the demonstration and reproduction commands.</w:t>
      </w:r>
    </w:p>
    <w:p>
      <w:pPr>
        <w:pStyle w:val="Heading2"/>
        <w:widowControl/>
        <w:spacing w:line="240" w:lineRule="auto"/>
      </w:pPr>
      <w:r>
        <w:rPr>
          <w:rFonts w:ascii="Arial" w:hAnsi="Arial" w:eastAsia="Arial" w:cs="Arial"/>
          <w:b/>
          <w:color w:val="000000"/>
          <w:sz w:val="22"/>
        </w:rPr>
        <w:t>7.2 Robustness grid — perturbing the rule base</w:t>
      </w:r>
    </w:p>
    <w:p>
      <w:pPr>
        <w:widowControl/>
        <w:spacing w:line="240" w:lineRule="auto"/>
      </w:pPr>
      <w:r>
        <w:rPr>
          <w:rFonts w:ascii="Arial" w:hAnsi="Arial" w:eastAsia="Arial" w:cs="Arial"/>
          <w:color w:val="000000"/>
          <w:sz w:val="22"/>
        </w:rPr>
        <w:t>The one-drop grid removes one runtime pre-filter at a time, using LinUCB as the reference. Baseline IER=0.0233, SVR=0.0000 and reward=41.94. This tests local rule removal under the simulator and emotional cap, not all combinations or clinical rule completeness.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2304"/>
        <w:gridCol w:w="151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Drop</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IER</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SVR</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Reward</w:t>
            </w:r>
          </w:p>
        </w:tc>
        <w:tc>
          <w:tcPr>
            <w:tcW w:type="dxa" w:w="151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t>Solo hits</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None</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PF_R1</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3</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PF_R2</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0.0180</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0.1596</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42.82</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131</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PF_R4</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0.0215</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0.0153</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41.72</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14</w:t>
            </w:r>
          </w:p>
        </w:tc>
      </w:tr>
      <w:tr>
        <w:trPr>
          <w:cantSplit/>
        </w:trPr>
        <w:tc>
          <w:tcPr>
            <w:tcW w:type="dxa" w:w="216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PF_R5</w:t>
            </w:r>
          </w:p>
        </w:tc>
        <w:tc>
          <w:tcPr>
            <w:tcW w:type="dxa" w:w="144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0.0233</w:t>
            </w:r>
          </w:p>
        </w:tc>
        <w:tc>
          <w:tcPr>
            <w:tcW w:type="dxa" w:w="144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0.0000</w:t>
            </w:r>
          </w:p>
        </w:tc>
        <w:tc>
          <w:tcPr>
            <w:tcW w:type="dxa" w:w="2304"/>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41.94</w:t>
            </w:r>
          </w:p>
        </w:tc>
        <w:tc>
          <w:tcPr>
            <w:tcW w:type="dxa" w:w="151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0</w:t>
            </w:r>
          </w:p>
        </w:tc>
      </w:tr>
    </w:tbl>
    <w:p>
      <w:pPr>
        <w:widowControl/>
        <w:spacing w:line="240" w:lineRule="auto"/>
      </w:pPr>
      <w:r>
        <w:rPr>
          <w:rFonts w:ascii="Arial" w:hAnsi="Arial" w:eastAsia="Arial" w:cs="Arial"/>
          <w:color w:val="000000"/>
          <w:sz w:val="22"/>
        </w:rPr>
        <w:t>Dropping PF_R2 changes SVR to 0.1596 (p&lt;.001), and dropping PF_R4 changes it to 0.0153 (p=.002). Reward changes are +0.88 (p=.16) and -0.21 (p=.67); IER changes have p=.16 and .45 respectively. Unchanged or constant series may have undefined t-tests; they must not be treated as evidence of equivalence. PF_R1's three solo hits in the unrestricted replay need not imply a measurable effect in this separate adaptive one-drop rollout. The grid is distribution-specific evidence, not proof that the rule chain has no coupling bugs.</w:t>
      </w:r>
    </w:p>
    <w:p>
      <w:pPr>
        <w:pStyle w:val="Heading3"/>
        <w:widowControl/>
        <w:spacing w:line="240" w:lineRule="auto"/>
      </w:pPr>
      <w:r>
        <w:rPr>
          <w:rFonts w:ascii="Arial" w:hAnsi="Arial" w:eastAsia="Arial" w:cs="Arial"/>
          <w:b/>
          <w:color w:val="000000"/>
          <w:sz w:val="22"/>
        </w:rPr>
        <w:t>7.2.1 What the grid reveals</w:t>
      </w:r>
    </w:p>
    <w:p>
      <w:pPr>
        <w:widowControl/>
        <w:spacing w:line="240" w:lineRule="auto"/>
      </w:pPr>
      <w:r>
        <w:rPr>
          <w:rFonts w:ascii="Arial" w:hAnsi="Arial" w:eastAsia="Arial" w:cs="Arial"/>
          <w:color w:val="000000"/>
          <w:sz w:val="22"/>
        </w:rPr>
        <w:t>PF_R3 requires pain&gt;=7 and difficulty&gt;=4, but the emotional difficulty cap prevents this combination in the evaluated accepted stream. PF_R5 requires ROM&lt;60, whereas the observed simulated range is [83.9,180.0]. Zero effects therefore reflect masking or lack of coverage, not dispensability. PF_R1 has 26 NoSafety catches, 23 overlapping PF_R2, leaving three solo catches; PF_R2 has 131 solo catches and PF_R4 14. A more severe cohort and direct boundary tests would be needed to assess dormant conditions comprehensively.</w:t>
      </w:r>
    </w:p>
    <w:p>
      <w:pPr>
        <w:pStyle w:val="Heading2"/>
        <w:widowControl/>
        <w:spacing w:line="240" w:lineRule="auto"/>
      </w:pPr>
      <w:r>
        <w:rPr>
          <w:rFonts w:ascii="Arial" w:hAnsi="Arial" w:eastAsia="Arial" w:cs="Arial"/>
          <w:b/>
          <w:color w:val="000000"/>
          <w:sz w:val="22"/>
        </w:rPr>
        <w:t>7.3 Narrative evaluation — LLM-as-judge, executed results</w:t>
      </w:r>
    </w:p>
    <w:p>
      <w:pPr>
        <w:widowControl/>
        <w:spacing w:line="240" w:lineRule="auto"/>
      </w:pPr>
      <w:r>
        <w:rPr>
          <w:rFonts w:ascii="Arial" w:hAnsi="Arial" w:eastAsia="Arial" w:cs="Arial"/>
          <w:color w:val="000000"/>
          <w:sz w:val="22"/>
        </w:rPr>
        <w:t>The 60 samples are stratified into five groups of 12: speak:doctor, speak:coach, speak:companion, speak:yellow-mixed and closing:safety_followup. Table 7.2 reports the stored group means. These descriptive ratings complement the template-slot and closing-flag checks; they are not clinical validation.</w:t>
      </w:r>
    </w:p>
    <w:p>
      <w:pPr>
        <w:keepNext/>
        <w:widowControl/>
        <w:spacing w:line="240" w:lineRule="auto"/>
      </w:pPr>
      <w:r>
        <w:rPr>
          <w:rFonts w:ascii="Arial" w:hAnsi="Arial" w:eastAsia="Arial" w:cs="Arial"/>
          <w:color w:val="000000"/>
          <w:sz w:val="22"/>
        </w:rPr>
        <w:t>Table 7.2 Recorded narrative group means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440"/>
        <w:gridCol w:w="1440"/>
        <w:gridCol w:w="1440"/>
        <w:gridCol w:w="2448"/>
      </w:tblGrid>
      <w:tr>
        <w:trPr>
          <w:cantSplit/>
          <w:tblHeader/>
        </w:trPr>
        <w:tc>
          <w:tcPr>
            <w:tcW w:type="dxa" w:w="208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Stream : label</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Coherence</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Empathy</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Clinical</w:t>
            </w:r>
          </w:p>
        </w:tc>
        <w:tc>
          <w:tcPr>
            <w:tcW w:type="dxa" w:w="244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Reading</w:t>
            </w:r>
          </w:p>
        </w:tc>
      </w:tr>
      <w:tr>
        <w:trPr>
          <w:cantSplit/>
        </w:trPr>
        <w:tc>
          <w:tcPr>
            <w:tcW w:type="dxa" w:w="208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closing:</w:t>
              <w:br/>
              <w:t>safety_followup</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5.00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5.00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5.00</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Closing flag wiring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speak:doctor</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4.92</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4.92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Descriptive rating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speak:coach</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4.83</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4.75</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Repeated wording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speak:companion</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4.75</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4.42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Repeated wording</w:t>
            </w:r>
          </w:p>
        </w:tc>
      </w:tr>
      <w:tr>
        <w:trPr>
          <w:cantSplit/>
        </w:trPr>
        <w:tc>
          <w:tcPr>
            <w:tcW w:type="dxa" w:w="2088"/>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speak:yellow-mixed</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4.58</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3.75</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4.50</w:t>
            </w:r>
          </w:p>
        </w:tc>
        <w:tc>
          <w:tcPr>
            <w:tcW w:type="dxa" w:w="244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22"/>
              </w:rPr>
              <w:t>Lowest empathy</w:t>
            </w:r>
          </w:p>
        </w:tc>
      </w:tr>
    </w:tbl>
    <w:p>
      <w:pPr>
        <w:pStyle w:val="Heading3"/>
        <w:widowControl/>
        <w:spacing w:line="240" w:lineRule="auto"/>
      </w:pPr>
      <w:r>
        <w:rPr>
          <w:rFonts w:ascii="Arial" w:hAnsi="Arial" w:eastAsia="Arial" w:cs="Arial"/>
          <w:b/>
          <w:color w:val="000000"/>
          <w:sz w:val="22"/>
        </w:rPr>
        <w:t>7.3.1 Why empathy scores 4.15 — template audit</w:t>
      </w:r>
    </w:p>
    <w:p>
      <w:pPr>
        <w:widowControl/>
        <w:spacing w:line="240" w:lineRule="auto"/>
      </w:pPr>
      <w:r>
        <w:rPr>
          <w:rFonts w:ascii="Arial" w:hAnsi="Arial" w:eastAsia="Arial" w:cs="Arial"/>
          <w:color w:val="000000"/>
          <w:sz w:val="22"/>
        </w:rPr>
        <w:t>All twelve speak:coach samples repeat a scaffold beginning Today's challenge, varying mainly task and difficulty. Pain ranges from 0.0 to 4.6 and fatigue from 0.0 to 5.9 in those samples, but the body text remains largely fixed. This explains why tone selection can react to state while wording still receives modest empathy ratings. More state-specific templates and human review would be useful, but changing templates would create a new evaluation version; the present scores remain attached to the committed texts.</w:t>
      </w:r>
    </w:p>
    <w:p>
      <w:pPr>
        <w:pStyle w:val="Heading2"/>
        <w:widowControl/>
        <w:spacing w:line="240" w:lineRule="auto"/>
      </w:pPr>
      <w:r>
        <w:rPr>
          <w:rFonts w:ascii="Arial" w:hAnsi="Arial" w:eastAsia="Arial" w:cs="Arial"/>
          <w:b/>
          <w:color w:val="000000"/>
          <w:sz w:val="22"/>
        </w:rPr>
        <w:t>7.4 Cold-start on an unseen condition</w:t>
      </w:r>
    </w:p>
    <w:p>
      <w:pPr>
        <w:widowControl/>
        <w:spacing w:line="240" w:lineRule="auto"/>
      </w:pPr>
      <w:r>
        <w:rPr>
          <w:rFonts w:ascii="Arial" w:hAnsi="Arial"/>
          <w:color w:val="000000"/>
          <w:sz w:val="22"/>
        </w:rPr>
        <w:t>Training uses ACL/RC users U001-U010 and U016-U020 (n=15); rollout uses BP users U011-U015 (n=5). In the runner's Frozen SAPS variant, reward-model updates stop but Beta safety updates continue. Retrained starts fresh on BP with online updates. Table 7.3 reports regenerated results for the repaired path and retains this reward-frozen, safety-adaptive qualification.</w:t>
      </w:r>
    </w:p>
    <w:p>
      <w:pPr>
        <w:keepNext/>
        <w:widowControl/>
        <w:spacing w:line="240" w:lineRule="auto"/>
      </w:pPr>
      <w:r>
        <w:rPr>
          <w:rFonts w:ascii="Arial" w:hAnsi="Arial" w:eastAsia="Arial" w:cs="Arial"/>
          <w:color w:val="000000"/>
          <w:sz w:val="22"/>
        </w:rPr>
        <w:t>Table 7.3 Cold start results with the reward frozen qualification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40"/>
        <w:gridCol w:w="1152"/>
        <w:gridCol w:w="2592"/>
      </w:tblGrid>
      <w:tr>
        <w:trPr>
          <w:cantSplit/>
          <w:tblHeader/>
        </w:trPr>
        <w:tc>
          <w:tcPr>
            <w:tcW w:type="dxa" w:w="374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Policy / Variant</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Reward</w:t>
            </w:r>
          </w:p>
        </w:tc>
        <w:tc>
          <w:tcPr>
            <w:tcW w:type="dxa" w:w="115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IER</w:t>
            </w:r>
          </w:p>
        </w:tc>
        <w:tc>
          <w:tcPr>
            <w:tcW w:type="dxa" w:w="259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22"/>
              </w:rPr>
            </w:r>
            <w:r>
              <w:rPr>
                <w:rFonts w:ascii="Arial" w:hAnsi="Arial"/>
                <w:b/>
                <w:color w:val="000000"/>
                <w:sz w:val="22"/>
              </w:rPr>
              <w:t>Reading</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SAPS Train (ACL+RC)</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41.55</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0.0267</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reference</w:t>
            </w:r>
          </w:p>
        </w:tc>
      </w:tr>
      <w:tr>
        <w:trPr>
          <w:cantSplit/>
        </w:trPr>
        <w:tc>
          <w:tcPr>
            <w:tcW w:type="dxa" w:w="374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SAPS reward-frozen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42.01</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0.0080</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Δ=+0.46 vs train</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SAPS Retrained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43.35</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0.0627</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Δ=+1.80 vs train</w:t>
            </w:r>
          </w:p>
        </w:tc>
      </w:tr>
      <w:tr>
        <w:trPr>
          <w:cantSplit/>
        </w:trPr>
        <w:tc>
          <w:tcPr>
            <w:tcW w:type="dxa" w:w="374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22"/>
              </w:rPr>
              <w:t>SAPS Frozen vs Retrained (paired t)</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Δ=-1.34</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p=0.0350</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n=5; exploratory</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LinUCB Train</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41.14</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0.0273</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reference</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LinUCB Frozen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41.90</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0.0213</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22"/>
              </w:rPr>
            </w:r>
            <w:r>
              <w:rPr>
                <w:rFonts w:ascii="Arial" w:hAnsi="Arial"/>
                <w:b w:val="0"/>
                <w:color w:val="000000"/>
                <w:sz w:val="22"/>
              </w:rPr>
              <w:t>Δ=+0.76</w:t>
            </w:r>
          </w:p>
        </w:tc>
      </w:tr>
      <w:tr>
        <w:trPr>
          <w:cantSplit/>
        </w:trPr>
        <w:tc>
          <w:tcPr>
            <w:tcW w:type="dxa" w:w="3744"/>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LinUCB Retrained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43.22</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22"/>
              </w:rPr>
              <w:t>0.0640</w:t>
            </w:r>
          </w:p>
        </w:tc>
        <w:tc>
          <w:tcPr>
            <w:tcW w:type="dxa" w:w="259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22"/>
              </w:rPr>
            </w:r>
            <w:r>
              <w:rPr>
                <w:rFonts w:ascii="Arial" w:hAnsi="Arial"/>
                <w:b w:val="0"/>
                <w:color w:val="000000"/>
                <w:sz w:val="22"/>
              </w:rPr>
              <w:t>Δ=+2.08; IER grows ~3×</w:t>
            </w:r>
          </w:p>
        </w:tc>
      </w:tr>
    </w:tbl>
    <w:p>
      <w:pPr>
        <w:widowControl/>
        <w:spacing w:line="240" w:lineRule="auto"/>
      </w:pPr>
      <w:r>
        <w:rPr>
          <w:rFonts w:ascii="Arial" w:hAnsi="Arial"/>
          <w:color w:val="000000"/>
          <w:sz w:val="22"/>
        </w:rPr>
        <w:t>SAPS reward is 41.55 in training, 42.01 in the BP reward-frozen rollout and 43.35 when retrained on BP. Frozen minus Retrained is -1.34, raw p=0.0350, n=5. Their IERs are 0.0080 and 0.0627. The lower frozen IER accompanies lower reward. These small fixed-cohort tests do not establish robust transfer or equivalence, and Frozen is not fully frozen because Beta adapts. LinUCB IER remains 0.0213 versus 0.0640. The comparison identifies a transfer trade-off for further study.</w:t>
      </w:r>
    </w:p>
    <w:p>
      <w:pPr>
        <w:pStyle w:val="Heading2"/>
        <w:widowControl/>
        <w:spacing w:line="240" w:lineRule="auto"/>
      </w:pPr>
      <w:r>
        <w:rPr>
          <w:rFonts w:ascii="Arial" w:hAnsi="Arial" w:eastAsia="Arial" w:cs="Arial"/>
          <w:b/>
          <w:color w:val="000000"/>
          <w:sz w:val="22"/>
        </w:rPr>
        <w:t>7.5 Reproduction boundaries</w:t>
      </w:r>
    </w:p>
    <w:p>
      <w:pPr>
        <w:widowControl/>
        <w:spacing w:line="240" w:lineRule="auto"/>
      </w:pPr>
      <w:r>
        <w:rPr>
          <w:rFonts w:ascii="Arial" w:hAnsi="Arial"/>
          <w:color w:val="000000"/>
          <w:sz w:val="22"/>
        </w:rPr>
        <w:t>The current release regenerates core results, Random, the separate LinUCB summary, cold-start posteriors and both paired comparisons. The core script compares 13 listed files but does not itself regenerate Random/cold-start; their separate commands are in README. A second same-environment core run passes 13/13 comparisons, 0 failed and 0 skipped. Only wall_time_s is stripped; cross-machine BLAS differences around 1e-14 may still fail exact checks. Printed FAIL lines do not currently force a nonzero script exit, so the summary must be inspected. External judge scores remain attached to unchanged LinUCB narrative samples. Static inputs, templates and baseline algorithms were not altered by the IER/SVR repair.</w:t>
      </w:r>
    </w:p>
    <w:p>
      <w:pPr>
        <w:pStyle w:val="Heading1"/>
        <w:widowControl/>
        <w:spacing w:line="240" w:lineRule="auto"/>
      </w:pPr>
      <w:r>
        <w:rPr>
          <w:rFonts w:ascii="Arial" w:hAnsi="Arial" w:eastAsia="Arial" w:cs="Arial"/>
          <w:b/>
          <w:color w:val="000000"/>
          <w:sz w:val="22"/>
        </w:rPr>
        <w:t>8. Conclusion</w:t>
      </w:r>
    </w:p>
    <w:p>
      <w:pPr>
        <w:pStyle w:val="Heading2"/>
        <w:widowControl/>
        <w:spacing w:line="240" w:lineRule="auto"/>
      </w:pPr>
      <w:r>
        <w:rPr>
          <w:rFonts w:ascii="Arial" w:hAnsi="Arial" w:eastAsia="Arial" w:cs="Arial"/>
          <w:b/>
          <w:color w:val="000000"/>
          <w:sz w:val="22"/>
        </w:rPr>
        <w:t>8.1 Summary and headline result</w:t>
      </w:r>
    </w:p>
    <w:p>
      <w:pPr>
        <w:widowControl/>
        <w:spacing w:line="240" w:lineRule="auto"/>
      </w:pPr>
      <w:r>
        <w:rPr>
          <w:rFonts w:ascii="Arial" w:hAnsi="Arial"/>
          <w:color w:val="000000"/>
        </w:rPr>
        <w:t>NarraCare combines an inspectable rehabilitation recommender with complementary safety diagnostics and a live companion. The LLM selects guarded tools. In the unchanged benchmark SAPS earns 42.02 versus LinUCB 41.94 without a significant paired advantage; IER is 0.0223 versus 0.0233. Separate provider checks verify integration and preference/feedback effects, not patient benefit. The practical result is a reference implementation and auditable evaluation workflow for safety-aware healthcare recommendation.</w:t>
      </w:r>
    </w:p>
    <w:p>
      <w:pPr>
        <w:pStyle w:val="Heading2"/>
        <w:widowControl/>
        <w:spacing w:line="240" w:lineRule="auto"/>
      </w:pPr>
      <w:r>
        <w:rPr>
          <w:rFonts w:ascii="Arial" w:hAnsi="Arial" w:eastAsia="Arial" w:cs="Arial"/>
          <w:b/>
          <w:color w:val="000000"/>
          <w:sz w:val="22"/>
        </w:rPr>
        <w:t>8.2 Future work</w:t>
      </w:r>
    </w:p>
    <w:p>
      <w:pPr>
        <w:widowControl/>
        <w:spacing w:line="240" w:lineRule="auto"/>
      </w:pPr>
      <w:r>
        <w:rPr>
          <w:rFonts w:ascii="Arial" w:hAnsi="Arial"/>
          <w:color w:val="000000"/>
        </w:rPr>
        <w:t>Future work includes repeated rollouts, stronger baselines, Beta/penalty ablations and fully frozen transfer evaluation. Benchmark narrator mapping and simulator bookkeeping need separately versioned corrections and regenerated evidence. Evaluate agent clarification, preference consistency, explanation faithfulness, tool misuse and provider failures across broader scenarios and repeated model runs. RAM-only session memory would need privacy-aware persistence. Clinician review and user studies remain prerequisites for care use; an LLM or companion interface alone establishes neither safety nor adherence.</w:t>
      </w:r>
    </w:p>
    <w:p>
      <w:pPr>
        <w:pStyle w:val="Heading2"/>
        <w:widowControl/>
        <w:spacing w:line="240" w:lineRule="auto"/>
      </w:pPr>
      <w:r>
        <w:rPr>
          <w:rFonts w:ascii="Arial" w:hAnsi="Arial" w:eastAsia="Arial" w:cs="Arial"/>
          <w:b/>
          <w:color w:val="000000"/>
          <w:sz w:val="22"/>
        </w:rPr>
        <w:t>8.3 Closing</w:t>
      </w:r>
    </w:p>
    <w:p>
      <w:pPr>
        <w:widowControl/>
        <w:spacing w:line="240" w:lineRule="auto"/>
      </w:pPr>
      <w:r>
        <w:rPr>
          <w:rFonts w:ascii="Arial" w:hAnsi="Arial"/>
          <w:color w:val="000000"/>
        </w:rPr>
        <w:t>NarraCare connects a rehabilitation recommender to a conversational companion while preserving its experimental record. Explicit feasibility checks, proposal/execution diagnostics and tool-grounded interaction give future teams concrete questions to test. The evidence supports an integrated coursework prototype; transfer, adherence and clinical effectiveness require dedicated evaluation.</w:t>
      </w:r>
    </w:p>
    <w:p>
      <w:pPr>
        <w:pStyle w:val="Heading1"/>
        <w:widowControl/>
        <w:spacing w:line="240" w:lineRule="auto"/>
      </w:pPr>
      <w:r>
        <w:rPr>
          <w:rFonts w:ascii="Arial" w:hAnsi="Arial" w:eastAsia="Arial" w:cs="Arial"/>
          <w:b/>
          <w:color w:val="000000"/>
          <w:sz w:val="22"/>
        </w:rPr>
        <w:t>References</w:t>
      </w:r>
    </w:p>
    <w:p>
      <w:pPr>
        <w:widowControl/>
        <w:spacing w:after="0" w:line="240" w:lineRule="auto"/>
      </w:pPr>
      <w:r>
        <w:rPr>
          <w:rFonts w:ascii="Arial" w:hAnsi="Arial" w:eastAsia="Arial" w:cs="Arial"/>
          <w:color w:val="000000"/>
          <w:sz w:val="22"/>
        </w:rPr>
        <w:t>[1] Agrawal, S., &amp; Goyal, N. (2013). Thompson Sampling for Contextual Bandits with Linear Payoffs. ICML.</w:t>
      </w:r>
    </w:p>
    <w:p>
      <w:pPr>
        <w:widowControl/>
        <w:spacing w:after="0" w:line="240" w:lineRule="auto"/>
      </w:pPr>
      <w:r>
        <w:rPr>
          <w:rFonts w:ascii="Arial" w:hAnsi="Arial" w:eastAsia="Arial" w:cs="Arial"/>
          <w:color w:val="000000"/>
          <w:sz w:val="22"/>
        </w:rPr>
        <w:t>[2] Altman, E. (1999). Constrained Markov Decision Processes. Chapman &amp; Hall/CRC.</w:t>
      </w:r>
    </w:p>
    <w:p>
      <w:pPr>
        <w:widowControl/>
        <w:spacing w:after="0" w:line="240" w:lineRule="auto"/>
      </w:pPr>
      <w:r>
        <w:rPr>
          <w:rFonts w:ascii="Arial" w:hAnsi="Arial" w:eastAsia="Arial" w:cs="Arial"/>
          <w:color w:val="000000"/>
          <w:sz w:val="22"/>
        </w:rPr>
        <w:t>[3] Amani, S., Alizadeh, M., &amp; Thrampoulidis, C. (2019). Linear Stochastic Bandits Under Safety Constraints. NeurIPS.</w:t>
      </w:r>
    </w:p>
    <w:p>
      <w:pPr>
        <w:widowControl/>
        <w:spacing w:after="0" w:line="240" w:lineRule="auto"/>
      </w:pPr>
      <w:r>
        <w:rPr>
          <w:rFonts w:ascii="Arial" w:hAnsi="Arial" w:eastAsia="Arial" w:cs="Arial"/>
          <w:color w:val="000000"/>
          <w:sz w:val="22"/>
        </w:rPr>
        <w:t>[4] Argent, R., Daly, A., &amp; Caulfield, B. (2018). Patient Involvement With Home-Based Exercise Programs: Can Connected Health Interventions Influence Adherence? JMIR mHealth and uHealth, 6(3), e47.</w:t>
      </w:r>
    </w:p>
    <w:p>
      <w:pPr>
        <w:widowControl/>
        <w:spacing w:after="0" w:line="240" w:lineRule="auto"/>
      </w:pPr>
      <w:r>
        <w:rPr>
          <w:rFonts w:ascii="Arial" w:hAnsi="Arial" w:eastAsia="Arial" w:cs="Arial"/>
          <w:color w:val="000000"/>
          <w:sz w:val="22"/>
        </w:rPr>
        <w:t>[5] Chapelle, O., &amp; Li, L. (2011). An Empirical Evaluation of Thompson Sampling. NeurIPS.</w:t>
      </w:r>
    </w:p>
    <w:p>
      <w:pPr>
        <w:widowControl/>
        <w:spacing w:after="0" w:line="240" w:lineRule="auto"/>
      </w:pPr>
      <w:r>
        <w:rPr>
          <w:rFonts w:ascii="Arial" w:hAnsi="Arial" w:eastAsia="Arial" w:cs="Arial"/>
          <w:color w:val="000000"/>
          <w:sz w:val="22"/>
        </w:rPr>
        <w:t>[6] Deci, E. L., &amp; Ryan, R. M. (2000). The "what" and "why" of goal pursuits. Psychological Inquiry, 11(4), 227–268.</w:t>
      </w:r>
    </w:p>
    <w:p>
      <w:pPr>
        <w:widowControl/>
        <w:spacing w:after="0" w:line="240" w:lineRule="auto"/>
      </w:pPr>
      <w:r>
        <w:rPr>
          <w:rFonts w:ascii="Arial" w:hAnsi="Arial" w:eastAsia="Arial" w:cs="Arial"/>
          <w:color w:val="000000"/>
          <w:sz w:val="22"/>
        </w:rPr>
        <w:t>[7] Jack, K., McLean, S. M., Moffett, J. K., &amp; Gardiner, E. (2010). Barriers to treatment adherence in physiotherapy outpatient clinics: a systematic review. Manual Therapy, 15(3), 220–228.</w:t>
      </w:r>
    </w:p>
    <w:p>
      <w:pPr>
        <w:widowControl/>
        <w:spacing w:after="0" w:line="240" w:lineRule="auto"/>
      </w:pPr>
      <w:r>
        <w:rPr>
          <w:rFonts w:ascii="Arial" w:hAnsi="Arial" w:eastAsia="Arial" w:cs="Arial"/>
          <w:color w:val="000000"/>
          <w:sz w:val="22"/>
        </w:rPr>
        <w:t>[8] Kuhn, J. E. (2009). Exercise in the treatment of rotator cuff impingement: a systematic review and a synthesized evidence-based rehabilitation protocol. JSES, 18(1), 138–160.</w:t>
      </w:r>
    </w:p>
    <w:p>
      <w:pPr>
        <w:widowControl/>
        <w:spacing w:after="0" w:line="240" w:lineRule="auto"/>
      </w:pPr>
      <w:r>
        <w:rPr>
          <w:rFonts w:ascii="Arial" w:hAnsi="Arial" w:eastAsia="Arial" w:cs="Arial"/>
          <w:color w:val="000000"/>
          <w:sz w:val="22"/>
        </w:rPr>
        <w:t>[9] Li, L., Chu, W., Langford, J., &amp; Schapire, R. E. (2010). A contextual-bandit approach to personalized news article recommendation. WWW.</w:t>
      </w:r>
    </w:p>
    <w:p>
      <w:pPr>
        <w:widowControl/>
        <w:spacing w:after="0" w:line="240" w:lineRule="auto"/>
      </w:pPr>
      <w:r>
        <w:rPr>
          <w:rFonts w:ascii="Arial" w:hAnsi="Arial" w:eastAsia="Arial" w:cs="Arial"/>
          <w:color w:val="000000"/>
          <w:sz w:val="22"/>
        </w:rPr>
        <w:t>[10] Pacchiano, A., Ghavamzadeh, M., Bartlett, P., &amp; Jiang, H. (2021). Stochastic Bandits with Linear Constraints. AISTATS.</w:t>
      </w:r>
    </w:p>
    <w:p>
      <w:pPr>
        <w:widowControl/>
        <w:spacing w:after="0" w:line="240" w:lineRule="auto"/>
      </w:pPr>
      <w:r>
        <w:rPr>
          <w:rFonts w:ascii="Arial" w:hAnsi="Arial" w:eastAsia="Arial" w:cs="Arial"/>
          <w:color w:val="000000"/>
          <w:sz w:val="22"/>
        </w:rPr>
        <w:t>[11] Park, J. S., O'Brien, J., Cai, C. J., Morris, M. R., Liang, P., &amp; Bernstein, M. S. (2023). Generative Agents: Interactive Simulacra of Human Behavior. UIST.</w:t>
      </w:r>
    </w:p>
    <w:p>
      <w:pPr>
        <w:widowControl/>
        <w:spacing w:after="0" w:line="240" w:lineRule="auto"/>
      </w:pPr>
      <w:r>
        <w:rPr>
          <w:rFonts w:ascii="Arial" w:hAnsi="Arial" w:eastAsia="Arial" w:cs="Arial"/>
          <w:color w:val="000000"/>
          <w:sz w:val="22"/>
        </w:rPr>
        <w:t>[12] Prochaska, J. O., &amp; Velicer, W. F. (1997). The Transtheoretical Model of Health Behavior Change. American Journal of Health Promotion, 12(1), 38–48.</w:t>
      </w:r>
    </w:p>
    <w:p>
      <w:pPr>
        <w:widowControl/>
        <w:spacing w:after="0" w:line="240" w:lineRule="auto"/>
      </w:pPr>
      <w:r>
        <w:rPr>
          <w:rFonts w:ascii="Arial" w:hAnsi="Arial" w:eastAsia="Arial" w:cs="Arial"/>
          <w:color w:val="000000"/>
          <w:sz w:val="22"/>
        </w:rPr>
        <w:t>[13] Riedl, M. O., &amp; Bulitko, V. (2013). Interactive Narrative: An Intelligent Systems Approach. AI Magazine, 34(1), 67–77.</w:t>
      </w:r>
    </w:p>
    <w:p>
      <w:pPr>
        <w:widowControl/>
        <w:spacing w:after="0" w:line="240" w:lineRule="auto"/>
      </w:pPr>
      <w:r>
        <w:rPr>
          <w:rFonts w:ascii="Arial" w:hAnsi="Arial" w:eastAsia="Arial" w:cs="Arial"/>
          <w:color w:val="000000"/>
          <w:sz w:val="22"/>
        </w:rPr>
        <w:t>[14] Riquelme, C., Tucker, G., &amp; Snoek, J. (2018). Deep Bayesian Bandits Showdown: An Empirical Comparison of Bayesian Deep Networks for Thompson Sampling. ICLR.</w:t>
      </w:r>
    </w:p>
    <w:p>
      <w:pPr>
        <w:widowControl/>
        <w:spacing w:after="0" w:line="240" w:lineRule="auto"/>
      </w:pPr>
      <w:r>
        <w:rPr>
          <w:rFonts w:ascii="Arial" w:hAnsi="Arial" w:eastAsia="Arial" w:cs="Arial"/>
          <w:color w:val="000000"/>
          <w:sz w:val="22"/>
        </w:rPr>
        <w:t>[15] Sharma, A., Lin, I. W., Miner, A. S., Atkins, D. C., &amp; Althoff, T. (2023). Human–AI collaboration enables more empathic conversations in text-based peer-to-peer mental health support. Nature Machine Intelligence, 5, 46–57.</w:t>
      </w:r>
    </w:p>
    <w:p>
      <w:pPr>
        <w:widowControl/>
        <w:spacing w:after="0" w:line="240" w:lineRule="auto"/>
      </w:pPr>
      <w:r>
        <w:rPr>
          <w:rFonts w:ascii="Arial" w:hAnsi="Arial" w:eastAsia="Arial" w:cs="Arial"/>
          <w:color w:val="000000"/>
          <w:sz w:val="22"/>
        </w:rPr>
        <w:t>[16] van Grinsven, S., van Cingel, R. E. H., Holla, C. J. M., &amp; van Loon, C. J. M. (2010). Evidence-based rehabilitation following anterior cruciate ligament reconstruction. KSSTA, 18(8), 1128–1144.</w:t>
      </w:r>
    </w:p>
    <w:p>
      <w:pPr>
        <w:widowControl/>
        <w:spacing w:after="0" w:line="240" w:lineRule="auto"/>
      </w:pPr>
      <w:r>
        <w:rPr>
          <w:rFonts w:ascii="Arial" w:hAnsi="Arial" w:eastAsia="Arial" w:cs="Arial"/>
          <w:color w:val="000000"/>
          <w:sz w:val="22"/>
        </w:rPr>
        <w:t>[17] Zhou, D., Li, L., &amp; Gu, Q. (2020). Neural Contextual Bandits with UCB-based Exploration. ICML.</w:t>
      </w:r>
    </w:p>
    <w:sectPr w:rsidR="00FC693F" w:rsidRPr="0006063C" w:rsidSect="00034616">
      <w:headerReference w:type="default" r:id="rId9"/>
      <w:footerReference w:type="default" r:id="rId10"/>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spacing w:line="240" w:lineRule="auto"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NarraCare Conversational Rehabilitation Recommendation</dc:title>
  <dc:subject>CA6124 group project technical report</dc:subject>
  <dc:creator/>
  <cp:keywords/>
  <dc:description/>
  <cp:lastModifiedBy/>
  <cp:revision>1</cp:revision>
  <dcterms:created xsi:type="dcterms:W3CDTF">2013-12-23T23:15:00Z</dcterms:created>
  <dcterms:modified xsi:type="dcterms:W3CDTF">2013-12-23T23:15:00Z</dcterms:modified>
  <cp:category/>
</cp:coreProperties>
</file>