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22"/>
        </w:rPr>
        <w:t>NarraCare: An Inspectable Conversational Rehabilitation Recommender</w:t>
      </w:r>
    </w:p>
    <w:p>
      <w:pPr>
        <w:pStyle w:val="Subtitle"/>
      </w:pPr>
      <w:r>
        <w:rPr>
          <w:rFonts w:ascii="Arial" w:hAnsi="Arial"/>
          <w:sz w:val="22"/>
        </w:rPr>
        <w:t>CA6124 Group Project · Final technical report</w:t>
      </w:r>
    </w:p>
    <w:p>
      <w:pPr>
        <w:pStyle w:val="Heading1"/>
      </w:pPr>
      <w:r>
        <w:rPr>
          <w:rFonts w:ascii="Arial" w:hAnsi="Arial"/>
          <w:sz w:val="22"/>
        </w:rPr>
        <w:t>1. Introduction</w:t>
      </w:r>
    </w:p>
    <w:p>
      <w:pPr>
        <w:pStyle w:val="Heading2"/>
      </w:pPr>
      <w:r>
        <w:rPr>
          <w:rFonts w:ascii="Arial" w:hAnsi="Arial"/>
          <w:sz w:val="22"/>
        </w:rPr>
        <w:t>1.1 Motivation and practical value</w:t>
      </w:r>
    </w:p>
    <w:p>
      <w:r>
        <w:rPr>
          <w:rFonts w:ascii="Arial" w:hAnsi="Arial"/>
          <w:sz w:val="22"/>
        </w:rPr>
        <w:t>Home rehabilitation requires repeated choices about what to attempt, how much effort is manageable, and when to rest. Adherence barriers include pain, low confidence and limited support [1,2]. Our target is a bounded recommendation prototype for postoperative ACL/rotator-cuff rehabilitation and chronic lower-back pain. It is not a diagnosis, treatment planner or clinically validated service.</w:t>
      </w:r>
    </w:p>
    <w:p>
      <w:r>
        <w:rPr>
          <w:rFonts w:ascii="Arial" w:hAnsi="Arial"/>
          <w:sz w:val="22"/>
        </w:rPr>
        <w:t>The recommendation output is one named catalogue task with category, difficulty, a grounded selection explanation and a companion message. The practical engineering question is how to combine context-sensitive learning with independently enforced feasibility checks and observable feedback, rather than allowing an attractive narrative or a high reward to stand in for safety.</w:t>
      </w:r>
    </w:p>
    <w:p>
      <w:r>
        <w:rPr>
          <w:rFonts w:ascii="Arial" w:hAnsi="Arial"/>
          <w:sz w:val="22"/>
        </w:rPr>
        <w:t>A system of this form could inform a future clinician-reviewed home-exercise support tool: approved exercises would be retrieved for a confirmed profile, daily self-reports would constrain selection, and explicit outcomes would update preferences and task estimates. This project demonstrates that organization using synthetic data; it does not establish that these tasks are suitable for real patients.</w:t>
      </w:r>
    </w:p>
    <w:p>
      <w:pPr>
        <w:pStyle w:val="Heading2"/>
      </w:pPr>
      <w:r>
        <w:rPr>
          <w:rFonts w:ascii="Arial" w:hAnsi="Arial"/>
          <w:sz w:val="22"/>
        </w:rPr>
        <w:t>1.2 Task and contributions</w:t>
      </w:r>
    </w:p>
    <w:p>
      <w:r>
        <w:rPr>
          <w:rFonts w:ascii="Arial" w:hAnsi="Arial"/>
          <w:sz w:val="22"/>
        </w:rPr>
        <w:t>We formulate a 60-day, context-aware sequential recommendation task and provide an interactive LLM tool-using agent over the same ranking, safety and narration components. Its contributions are task-specific integration and inspectability, not a claim that a new algorithm dominates established methods.</w:t>
      </w:r>
    </w:p>
    <w:p>
      <w:r>
        <w:rPr>
          <w:rFonts w:ascii="Arial" w:hAnsi="Arial"/>
          <w:sz w:val="22"/>
        </w:rPr>
        <w:t>First, independent runtime predicates constrain delivery while a sampled safety-outcome bonus influences ranking. Second, proposal-layer IER and executed-task SVR expose different failure points, alongside reward, acceptance and completion. We report these complementary diagnostics without claiming to have invented a universal safety metric. Third, a source-fingerprinted evaluation runner links current code to all final reported experiments.</w:t>
      </w:r>
    </w:p>
    <w:p>
      <w:r>
        <w:rPr>
          <w:rFonts w:ascii="Arial" w:hAnsi="Arial"/>
          <w:sz w:val="22"/>
        </w:rPr>
        <w:t>The application design combines a three-act mountain trail with a companion who scouts, walks alongside and gradually steps back. Small completed steps create progress; skips create camp without fabricated recovery. This is intended to provide achievable goals and companionship rather than constant coaching pressure. Its effect on adherence or fatigue remains a design hypothesis, not an evaluated benefit.</w:t>
      </w:r>
    </w:p>
    <w:p>
      <w:pPr>
        <w:pStyle w:val="Heading2"/>
      </w:pPr>
      <w:r>
        <w:rPr>
          <w:rFonts w:ascii="Arial" w:hAnsi="Arial"/>
          <w:sz w:val="22"/>
        </w:rPr>
        <w:t>1.3 Evidence scope</w:t>
      </w:r>
    </w:p>
    <w:p>
      <w:r>
        <w:rPr>
          <w:rFonts w:ascii="Arial" w:hAnsi="Arial"/>
          <w:sz w:val="22"/>
        </w:rPr>
        <w:t>Final evaluation uses seven policies, 20 synthetic personas, 60 days and ten seed runs. SAPS does not significantly outperform LinUCB in reward, and Random scores higher. We therefore distinguish demonstrated integration and rule enforcement from unproven algorithmic superiority, clinical safety and narrative effectiveness.</w:t>
      </w:r>
    </w:p>
    <w:p>
      <w:r>
        <w:rPr>
          <w:rFonts w:ascii="Arial" w:hAnsi="Arial"/>
          <w:sz w:val="22"/>
        </w:rPr>
        <w:t>Project repository: https://github.com/ZHIQIAN-fine/NarraCare</w:t>
      </w:r>
    </w:p>
    <w:p>
      <w:r>
        <w:rPr>
          <w:rFonts w:ascii="Arial" w:hAnsi="Arial"/>
          <w:sz w:val="22"/>
        </w:rPr>
        <w:br w:type="page"/>
      </w:r>
    </w:p>
    <w:p>
      <w:pPr>
        <w:pStyle w:val="Heading1"/>
      </w:pPr>
      <w:r>
        <w:rPr>
          <w:rFonts w:ascii="Arial" w:hAnsi="Arial"/>
          <w:sz w:val="22"/>
        </w:rPr>
        <w:t>2. Related work, data and formulation</w:t>
      </w:r>
    </w:p>
    <w:p>
      <w:pPr>
        <w:pStyle w:val="Heading2"/>
      </w:pPr>
      <w:r>
        <w:rPr>
          <w:rFonts w:ascii="Arial" w:hAnsi="Arial"/>
          <w:sz w:val="22"/>
        </w:rPr>
        <w:t>2.1 Methodological context</w:t>
      </w:r>
    </w:p>
    <w:p>
      <w:r>
        <w:rPr>
          <w:rFonts w:ascii="Arial" w:hAnsi="Arial"/>
          <w:sz w:val="22"/>
        </w:rPr>
        <w:t>LinUCB [3] provides context-dependent reward estimation and an uncertainty bonus. Thompson sampling [4] motivates sampling from a posterior, but SAPS samples only its auxiliary Beta outcome term; its reward backbone remains UCB. Constrained bandit research [5,6] motivates separating utility from restrictions. Our hand-authored predicates and heuristic bonus do not inherit those papers’ formal safety guarantees.</w:t>
      </w:r>
    </w:p>
    <w:p>
      <w:r>
        <w:rPr>
          <w:rFonts w:ascii="Arial" w:hAnsi="Arial"/>
          <w:sz w:val="22"/>
        </w:rPr>
        <w:t>Neural contextual bandits [7] are relevant references, but our inherited NeuralUCB-labelled implementation differs substantially from gradient-UCB. Interactive narrative [8] and self-determination theory [9] motivate presentation with autonomy and achievable progression. These sources motivate a design; they do not validate our simulator or demonstrate adherence gains. Clinical exercise literature [10,11] is background rather than a per-record provenance or safety certification.</w:t>
      </w:r>
    </w:p>
    <w:p>
      <w:pPr>
        <w:pStyle w:val="Heading2"/>
      </w:pPr>
      <w:r>
        <w:rPr>
          <w:rFonts w:ascii="Arial" w:hAnsi="Arial"/>
          <w:sz w:val="22"/>
        </w:rPr>
        <w:t>2.2 Dataset origin and preparation</w:t>
      </w:r>
    </w:p>
    <w:p>
      <w:r>
        <w:rPr>
          <w:rFonts w:ascii="Arial" w:hAnsi="Arial"/>
          <w:sz w:val="22"/>
        </w:rPr>
        <w:t>All experiment inputs are repository-authored synthetic JSON. No Kaggle dataset, public patient interaction log, identifiable record or real clinical training sample is used. Static files are loaded into profile/task dictionaries; long condition names are normalized for narrative arc lookup. The repository does not preserve a complete per-record human-versus-AI authorship log or clinical sign-off, so neither is asserted.</w:t>
      </w:r>
    </w:p>
    <w:tbl>
      <w:tblPr>
        <w:tblStyle w:val="LightShading-Accent1"/>
        <w:tblW w:type="auto" w:w="0"/>
        <w:tblLook w:firstColumn="1" w:firstRow="1" w:lastColumn="0" w:lastRow="0" w:noHBand="0" w:noVBand="1" w:val="04A0"/>
      </w:tblPr>
      <w:tblGrid>
        <w:gridCol w:w="4873"/>
        <w:gridCol w:w="4873"/>
      </w:tblGrid>
      <w:tr>
        <w:trPr>
          <w:cantSplit/>
        </w:trPr>
        <w:tc>
          <w:tcPr>
            <w:tcW w:type="dxa" w:w="4873"/>
          </w:tcPr>
          <w:p>
            <w:pPr>
              <w:spacing w:after="60" w:before="0" w:line="240" w:lineRule="auto"/>
            </w:pPr>
            <w:r>
              <w:rPr>
                <w:rFonts w:ascii="Arial" w:hAnsi="Arial"/>
                <w:sz w:val="22"/>
              </w:rPr>
              <w:t>Input</w:t>
            </w:r>
          </w:p>
        </w:tc>
        <w:tc>
          <w:tcPr>
            <w:tcW w:type="dxa" w:w="4873"/>
          </w:tcPr>
          <w:p>
            <w:pPr>
              <w:spacing w:after="60" w:before="0" w:line="240" w:lineRule="auto"/>
            </w:pPr>
            <w:r>
              <w:rPr>
                <w:rFonts w:ascii="Arial" w:hAnsi="Arial"/>
                <w:sz w:val="22"/>
              </w:rPr>
              <w:t>Contents / statistics</w:t>
            </w:r>
          </w:p>
        </w:tc>
      </w:tr>
      <w:tr>
        <w:trPr>
          <w:cantSplit/>
        </w:trPr>
        <w:tc>
          <w:tcPr>
            <w:tcW w:type="dxa" w:w="4873"/>
          </w:tcPr>
          <w:p>
            <w:pPr>
              <w:spacing w:after="60" w:before="0" w:line="240" w:lineRule="auto"/>
            </w:pPr>
            <w:r>
              <w:rPr>
                <w:rFonts w:ascii="Arial" w:hAnsi="Arial"/>
                <w:sz w:val="22"/>
              </w:rPr>
              <w:t>Personas</w:t>
            </w:r>
          </w:p>
        </w:tc>
        <w:tc>
          <w:tcPr>
            <w:tcW w:type="dxa" w:w="4873"/>
          </w:tcPr>
          <w:p>
            <w:pPr>
              <w:spacing w:after="60" w:before="0" w:line="240" w:lineRule="auto"/>
            </w:pPr>
            <w:r>
              <w:rPr>
                <w:rFonts w:ascii="Arial" w:hAnsi="Arial"/>
                <w:sz w:val="22"/>
              </w:rPr>
              <w:t>20: ACL 10, rotator cuff 5, chronic back pain 5; motivated 7, inconsistent 6, cautious 7</w:t>
            </w:r>
          </w:p>
        </w:tc>
      </w:tr>
      <w:tr>
        <w:trPr>
          <w:cantSplit/>
        </w:trPr>
        <w:tc>
          <w:tcPr>
            <w:tcW w:type="dxa" w:w="4873"/>
          </w:tcPr>
          <w:p>
            <w:pPr>
              <w:spacing w:after="60" w:before="0" w:line="240" w:lineRule="auto"/>
            </w:pPr>
            <w:r>
              <w:rPr>
                <w:rFonts w:ascii="Arial" w:hAnsi="Arial"/>
                <w:sz w:val="22"/>
              </w:rPr>
              <w:t>Tasks</w:t>
            </w:r>
          </w:p>
        </w:tc>
        <w:tc>
          <w:tcPr>
            <w:tcW w:type="dxa" w:w="4873"/>
          </w:tcPr>
          <w:p>
            <w:pPr>
              <w:spacing w:after="60" w:before="0" w:line="240" w:lineRule="auto"/>
            </w:pPr>
            <w:r>
              <w:rPr>
                <w:rFonts w:ascii="Arial" w:hAnsi="Arial"/>
                <w:sz w:val="22"/>
              </w:rPr>
              <w:t>100: strength 41, flexibility 29, balance 12, cardio 10, rest 8; difficulty 1–5</w:t>
            </w:r>
          </w:p>
        </w:tc>
      </w:tr>
      <w:tr>
        <w:trPr>
          <w:cantSplit/>
        </w:trPr>
        <w:tc>
          <w:tcPr>
            <w:tcW w:type="dxa" w:w="4873"/>
          </w:tcPr>
          <w:p>
            <w:pPr>
              <w:spacing w:after="60" w:before="0" w:line="240" w:lineRule="auto"/>
            </w:pPr>
            <w:r>
              <w:rPr>
                <w:rFonts w:ascii="Arial" w:hAnsi="Arial"/>
                <w:sz w:val="22"/>
              </w:rPr>
              <w:t>Design rules</w:t>
            </w:r>
          </w:p>
        </w:tc>
        <w:tc>
          <w:tcPr>
            <w:tcW w:type="dxa" w:w="4873"/>
          </w:tcPr>
          <w:p>
            <w:pPr>
              <w:spacing w:after="60" w:before="0" w:line="240" w:lineRule="auto"/>
            </w:pPr>
            <w:r>
              <w:rPr>
                <w:rFonts w:ascii="Arial" w:hAnsi="Arial"/>
                <w:sz w:val="22"/>
              </w:rPr>
              <w:t>51 definitions: contraindication 16, dosage 9, fatigue 6, crisis 10, progression 10</w:t>
            </w:r>
          </w:p>
        </w:tc>
      </w:tr>
      <w:tr>
        <w:trPr>
          <w:cantSplit/>
        </w:trPr>
        <w:tc>
          <w:tcPr>
            <w:tcW w:type="dxa" w:w="4873"/>
          </w:tcPr>
          <w:p>
            <w:pPr>
              <w:spacing w:after="60" w:before="0" w:line="240" w:lineRule="auto"/>
            </w:pPr>
            <w:r>
              <w:rPr>
                <w:rFonts w:ascii="Arial" w:hAnsi="Arial"/>
                <w:sz w:val="22"/>
              </w:rPr>
              <w:t>Narrative data</w:t>
            </w:r>
          </w:p>
        </w:tc>
        <w:tc>
          <w:tcPr>
            <w:tcW w:type="dxa" w:w="4873"/>
          </w:tcPr>
          <w:p>
            <w:pPr>
              <w:spacing w:after="60" w:before="0" w:line="240" w:lineRule="auto"/>
            </w:pPr>
            <w:r>
              <w:rPr>
                <w:rFonts w:ascii="Arial" w:hAnsi="Arial"/>
                <w:sz w:val="22"/>
              </w:rPr>
              <w:t>3 condition maps × 3 acts; doctor/coach/companion templates and closing variants</w:t>
            </w:r>
          </w:p>
        </w:tc>
      </w:tr>
    </w:tbl>
    <w:p>
      <w:r>
        <w:rPr>
          <w:rFonts w:ascii="Arial" w:hAnsi="Arial"/>
          <w:sz w:val="22"/>
        </w:rPr>
        <w:t>The five runtime pre-filter rules are distinct from the 51 design definitions: those definitions are not 51 predicates executed on each task. Inputs are distributed with the code; experiment scripts regenerate outputs, not the authored dataset. data/README.md documents fields, processing, sources and limitations.</w:t>
      </w:r>
    </w:p>
    <w:p>
      <w:pPr>
        <w:pStyle w:val="Heading2"/>
      </w:pPr>
      <w:r>
        <w:rPr>
          <w:rFonts w:ascii="Arial" w:hAnsi="Arial"/>
          <w:sz w:val="22"/>
        </w:rPr>
        <w:t>2.3 Formal task and assumptions</w:t>
      </w:r>
    </w:p>
    <w:p>
      <w:r>
        <w:rPr>
          <w:rFonts w:ascii="Arial" w:hAnsi="Arial"/>
          <w:sz w:val="22"/>
        </w:rPr>
        <w:t>At each day t, context x_t describes symptoms, profile and interaction history. The system retrieves feasible catalogue items F_t, ranks them and delivers a one-task recommendation. An attempted task generates feedback and reward; a skip is recorded without an observed physical outcome. The objective is accumulated simulated utility subject to specified feasibility predicates, not maximization of clinical recovery.</w:t>
      </w:r>
    </w:p>
    <w:p>
      <w:r>
        <w:rPr>
          <w:rFonts w:ascii="Arial" w:hAnsi="Arial"/>
          <w:sz w:val="22"/>
        </w:rPr>
        <w:t>Synthetic profiles keep clinical stage fixed; narrative day never advances a medical stage. Simulator equations, thresholds and reward terms are assumptions. The benchmark does not apply the live agent’s extra body-part/preference retrieval restriction, so some benchmark proposals are cross-body tasks. This limits the clinical relevance of both reward and rule-based safety rates.</w:t>
      </w:r>
    </w:p>
    <w:p>
      <w:r>
        <w:rPr>
          <w:rFonts w:ascii="Arial" w:hAnsi="Arial"/>
          <w:sz w:val="22"/>
        </w:rPr>
        <w:br w:type="page"/>
      </w:r>
    </w:p>
    <w:p>
      <w:pPr>
        <w:pStyle w:val="Heading1"/>
      </w:pPr>
      <w:r>
        <w:rPr>
          <w:rFonts w:ascii="Arial" w:hAnsi="Arial"/>
          <w:sz w:val="22"/>
        </w:rPr>
        <w:t>3. Proposed system and conversational agent</w:t>
      </w:r>
    </w:p>
    <w:p>
      <w:pPr>
        <w:pStyle w:val="Heading2"/>
      </w:pPr>
      <w:r>
        <w:rPr>
          <w:rFonts w:ascii="Arial" w:hAnsi="Arial"/>
          <w:sz w:val="22"/>
        </w:rPr>
        <w:t>3.1 Integrated architecture</w:t>
      </w:r>
    </w:p>
    <w:p>
      <w:r>
        <w:rPr>
          <w:rFonts w:ascii="Arial" w:hAnsi="Arial"/>
          <w:sz w:val="22"/>
        </w:rPr>
        <w:t>The benchmark composes five functional components: User Simulator → Safety pre-filter/emotional cap → Recommender → Safety post-check → Narrator → simulated choice/outcome → Reward Composer/model updates → Narrator closing. Safety and narration therefore appear at multiple points; a display order is not substituted for the actual execution order.</w:t>
      </w:r>
    </w:p>
    <w:p>
      <w:r>
        <w:rPr>
          <w:rFonts w:ascii="Arial" w:hAnsi="Arial"/>
          <w:sz w:val="22"/>
        </w:rPr>
        <w:t>The live path replaces simulated behavior with explicit user input. An OpenAI-compatible LLM (default gpt-4o-mini) interprets English and selects tools. Python tools reuse context construction, memory, SAPS, Safety and template narration. The Simulator’s Reward Composer function is reused, but live sessions never call simulated state, choice or outcome generation.</w:t>
      </w:r>
    </w:p>
    <w:p>
      <w:r>
        <w:rPr>
          <w:rFonts w:ascii="Arial" w:hAnsi="Arial"/>
          <w:sz w:val="22"/>
        </w:rPr>
        <w:t>The controller allows at most ten sequential tool decisions per user turn. Tool results return to the model; terminal tools generate the displayed response. Each call must satisfy argument, sequence and evidence checks. Provider failures are visible; no production entry point silently substitutes a scripted planner.</w:t>
      </w:r>
    </w:p>
    <w:p>
      <w:pPr>
        <w:pStyle w:val="Heading2"/>
      </w:pPr>
      <w:r>
        <w:rPr>
          <w:rFonts w:ascii="Arial" w:hAnsi="Arial"/>
          <w:sz w:val="22"/>
        </w:rPr>
        <w:t>3.2 Understanding, retrieval and adaptation</w:t>
      </w:r>
    </w:p>
    <w:tbl>
      <w:tblPr>
        <w:tblStyle w:val="LightShading-Accent1"/>
        <w:tblW w:type="auto" w:w="0"/>
        <w:tblLook w:firstColumn="1" w:firstRow="1" w:lastColumn="0" w:lastRow="0" w:noHBand="0" w:noVBand="1" w:val="04A0"/>
      </w:tblPr>
      <w:tblGrid>
        <w:gridCol w:w="4873"/>
        <w:gridCol w:w="4873"/>
      </w:tblGrid>
      <w:tr>
        <w:trPr>
          <w:cantSplit/>
        </w:trPr>
        <w:tc>
          <w:tcPr>
            <w:tcW w:type="dxa" w:w="4873"/>
          </w:tcPr>
          <w:p>
            <w:pPr>
              <w:spacing w:after="60" w:before="0" w:line="240" w:lineRule="auto"/>
            </w:pPr>
            <w:r>
              <w:rPr>
                <w:rFonts w:ascii="Arial" w:hAnsi="Arial"/>
                <w:sz w:val="22"/>
              </w:rPr>
              <w:t>Stage</w:t>
            </w:r>
          </w:p>
        </w:tc>
        <w:tc>
          <w:tcPr>
            <w:tcW w:type="dxa" w:w="4873"/>
          </w:tcPr>
          <w:p>
            <w:pPr>
              <w:spacing w:after="60" w:before="0" w:line="240" w:lineRule="auto"/>
            </w:pPr>
            <w:r>
              <w:rPr>
                <w:rFonts w:ascii="Arial" w:hAnsi="Arial"/>
                <w:sz w:val="22"/>
              </w:rPr>
              <w:t>Implemented behavior</w:t>
            </w:r>
          </w:p>
        </w:tc>
      </w:tr>
      <w:tr>
        <w:trPr>
          <w:cantSplit/>
        </w:trPr>
        <w:tc>
          <w:tcPr>
            <w:tcW w:type="dxa" w:w="4873"/>
          </w:tcPr>
          <w:p>
            <w:pPr>
              <w:spacing w:after="60" w:before="0" w:line="240" w:lineRule="auto"/>
            </w:pPr>
            <w:r>
              <w:rPr>
                <w:rFonts w:ascii="Arial" w:hAnsi="Arial"/>
                <w:sz w:val="22"/>
              </w:rPr>
              <w:t>Check-in / clarification</w:t>
            </w:r>
          </w:p>
        </w:tc>
        <w:tc>
          <w:tcPr>
            <w:tcW w:type="dxa" w:w="4873"/>
          </w:tcPr>
          <w:p>
            <w:pPr>
              <w:spacing w:after="60" w:before="0" w:line="240" w:lineRule="auto"/>
            </w:pPr>
            <w:r>
              <w:rPr>
                <w:rFonts w:ascii="Arial" w:hAnsi="Arial"/>
                <w:sz w:val="22"/>
              </w:rPr>
              <w:t>Explicit pain, fatigue, mood 0–10; measured ROM 0–180 or explicit unknown; missing information is requested</w:t>
            </w:r>
          </w:p>
        </w:tc>
      </w:tr>
      <w:tr>
        <w:trPr>
          <w:cantSplit/>
        </w:trPr>
        <w:tc>
          <w:tcPr>
            <w:tcW w:type="dxa" w:w="4873"/>
          </w:tcPr>
          <w:p>
            <w:pPr>
              <w:spacing w:after="60" w:before="0" w:line="240" w:lineRule="auto"/>
            </w:pPr>
            <w:r>
              <w:rPr>
                <w:rFonts w:ascii="Arial" w:hAnsi="Arial"/>
                <w:sz w:val="22"/>
              </w:rPr>
              <w:t>Preference memory</w:t>
            </w:r>
          </w:p>
        </w:tc>
        <w:tc>
          <w:tcPr>
            <w:tcW w:type="dxa" w:w="4873"/>
          </w:tcPr>
          <w:p>
            <w:pPr>
              <w:spacing w:after="60" w:before="0" w:line="240" w:lineRule="auto"/>
            </w:pPr>
            <w:r>
              <w:rPr>
                <w:rFonts w:ascii="Arial" w:hAnsi="Arial"/>
                <w:sz w:val="22"/>
              </w:rPr>
              <w:t>Preferred/avoided categories persist within a session; a revision invalidates stale retrieval/ranking</w:t>
            </w:r>
          </w:p>
        </w:tc>
      </w:tr>
      <w:tr>
        <w:trPr>
          <w:cantSplit/>
        </w:trPr>
        <w:tc>
          <w:tcPr>
            <w:tcW w:type="dxa" w:w="4873"/>
          </w:tcPr>
          <w:p>
            <w:pPr>
              <w:spacing w:after="60" w:before="0" w:line="240" w:lineRule="auto"/>
            </w:pPr>
            <w:r>
              <w:rPr>
                <w:rFonts w:ascii="Arial" w:hAnsi="Arial"/>
                <w:sz w:val="22"/>
              </w:rPr>
              <w:t>Retrieval / ranking</w:t>
            </w:r>
          </w:p>
        </w:tc>
        <w:tc>
          <w:tcPr>
            <w:tcW w:type="dxa" w:w="4873"/>
          </w:tcPr>
          <w:p>
            <w:pPr>
              <w:spacing w:after="60" w:before="0" w:line="240" w:lineRule="auto"/>
            </w:pPr>
            <w:r>
              <w:rPr>
                <w:rFonts w:ascii="Arial" w:hAnsi="Arial"/>
                <w:sz w:val="22"/>
              </w:rPr>
              <w:t>Hard pre-filter, condition/body-part relevance and avoidances; soft preferred categories when available; existing SAPS and final checks</w:t>
            </w:r>
          </w:p>
        </w:tc>
      </w:tr>
      <w:tr>
        <w:trPr>
          <w:cantSplit/>
        </w:trPr>
        <w:tc>
          <w:tcPr>
            <w:tcW w:type="dxa" w:w="4873"/>
          </w:tcPr>
          <w:p>
            <w:pPr>
              <w:spacing w:after="60" w:before="0" w:line="240" w:lineRule="auto"/>
            </w:pPr>
            <w:r>
              <w:rPr>
                <w:rFonts w:ascii="Arial" w:hAnsi="Arial"/>
                <w:sz w:val="22"/>
              </w:rPr>
              <w:t>Presentation / explanation</w:t>
            </w:r>
          </w:p>
        </w:tc>
        <w:tc>
          <w:tcPr>
            <w:tcW w:type="dxa" w:w="4873"/>
          </w:tcPr>
          <w:p>
            <w:pPr>
              <w:spacing w:after="60" w:before="0" w:line="240" w:lineRule="auto"/>
            </w:pPr>
            <w:r>
              <w:rPr>
                <w:rFonts w:ascii="Arial" w:hAnsi="Arial"/>
                <w:sz w:val="22"/>
              </w:rPr>
              <w:t>Canonical task fields, real counts, composite S and template text; selection-path explanation, not causal score attribution</w:t>
            </w:r>
          </w:p>
        </w:tc>
      </w:tr>
      <w:tr>
        <w:trPr>
          <w:cantSplit/>
        </w:trPr>
        <w:tc>
          <w:tcPr>
            <w:tcW w:type="dxa" w:w="4873"/>
          </w:tcPr>
          <w:p>
            <w:pPr>
              <w:spacing w:after="60" w:before="0" w:line="240" w:lineRule="auto"/>
            </w:pPr>
            <w:r>
              <w:rPr>
                <w:rFonts w:ascii="Arial" w:hAnsi="Arial"/>
                <w:sz w:val="22"/>
              </w:rPr>
              <w:t>Feedback / learning</w:t>
            </w:r>
          </w:p>
        </w:tc>
        <w:tc>
          <w:tcPr>
            <w:tcW w:type="dxa" w:w="4873"/>
          </w:tcPr>
          <w:p>
            <w:pPr>
              <w:spacing w:after="60" w:before="0" w:line="240" w:lineRule="auto"/>
            </w:pPr>
            <w:r>
              <w:rPr>
                <w:rFonts w:ascii="Arial" w:hAnsi="Arial"/>
                <w:sz w:val="22"/>
              </w:rPr>
              <w:t>Explicit completed/partial + after-pain/fatigue + satisfaction; reward/model/Beta/memory update once; no update for intention or skip</w:t>
            </w:r>
          </w:p>
        </w:tc>
      </w:tr>
    </w:tbl>
    <w:p>
      <w:r>
        <w:rPr>
          <w:rFonts w:ascii="Arial" w:hAnsi="Arial"/>
          <w:sz w:val="22"/>
        </w:rPr>
        <w:t>Guided forms prepare an editable message, then Send invokes the same LLM. They are an input aid, not medical-record import or a second planner. Unknown ROM remains null in the record; a clearly labelled conservative zero-degree proxy is used for existing filtering/features, not treated as a measurement. Satisfaction is stored descriptively and is not in the reward formula.</w:t>
      </w:r>
    </w:p>
    <w:p>
      <w:pPr>
        <w:pStyle w:val="Heading2"/>
      </w:pPr>
      <w:r>
        <w:rPr>
          <w:rFonts w:ascii="Arial" w:hAnsi="Arial"/>
          <w:sz w:val="22"/>
        </w:rPr>
        <w:t>3.3 Safety boundaries and memory</w:t>
      </w:r>
    </w:p>
    <w:p>
      <w:r>
        <w:rPr>
          <w:rFonts w:ascii="Arial" w:hAnsi="Arial"/>
          <w:sz w:val="22"/>
        </w:rPr>
        <w:t>Tool guards reject invented catalogue IDs, stale plans and numeric values lacking matching evidence. Explicit pain preventing every task permits an unperformed pause, without adding an arbitrary numeric cutoff. Ordinary days aim to offer a feasible task, including suitable recovery activity, while the user may decline. Red-flag keyword detection creates a hold before LLM invocation; this limited screen can miss or misclassify concerns.</w:t>
      </w:r>
    </w:p>
    <w:p>
      <w:r>
        <w:rPr>
          <w:rFonts w:ascii="Arial" w:hAnsi="Arial"/>
          <w:sz w:val="22"/>
        </w:rPr>
        <w:t>Sessions own separate learners and memory; they do not load benchmark posteriors. Clinical stage and contraindications cannot be rewritten by the LLM. No persistent patient record or clinician approval workflow is implemented. Bounded tool use covers the assignment’s suggested capabilities, but engineering checks cannot establish unrestricted language robustness or healthcare suitability.</w:t>
      </w:r>
    </w:p>
    <w:p>
      <w:r>
        <w:rPr>
          <w:rFonts w:ascii="Arial" w:hAnsi="Arial"/>
          <w:sz w:val="22"/>
        </w:rPr>
        <w:br w:type="page"/>
      </w:r>
    </w:p>
    <w:p>
      <w:pPr>
        <w:pStyle w:val="Heading1"/>
      </w:pPr>
      <w:r>
        <w:rPr>
          <w:rFonts w:ascii="Arial" w:hAnsi="Arial"/>
          <w:sz w:val="22"/>
        </w:rPr>
        <w:t>4. Ranking, safety and feedback semantics</w:t>
      </w:r>
    </w:p>
    <w:p>
      <w:pPr>
        <w:pStyle w:val="Heading2"/>
      </w:pPr>
      <w:r>
        <w:rPr>
          <w:rFonts w:ascii="Arial" w:hAnsi="Arial"/>
          <w:sz w:val="22"/>
        </w:rPr>
        <w:t>4.1 SAPS: task-specific adaptation of LinUCB</w:t>
      </w:r>
    </w:p>
    <w:p>
      <w:r>
        <w:rPr>
          <w:rFonts w:ascii="Arial" w:hAnsi="Arial"/>
          <w:sz w:val="22"/>
        </w:rPr>
        <w:t>Context combines pain, fatigue, ROM, mood, age, time since surgery, fixed stage, recent completion/intensity, feedback counts, BMI, baseline symptoms and motivation. Explicit category preference is not an extra bandit feature; live preferences change retrieval.</w:t>
      </w:r>
    </w:p>
    <w:p>
      <w:r>
        <w:rPr>
          <w:rFonts w:ascii="Arial" w:hAnsi="Arial"/>
          <w:sz w:val="22"/>
        </w:rPr>
        <w:t>For task a and 15-dimensional context x, initialize A_a = I and b_a = 0. Then θ_a = A_a⁻¹b_a and r_ucb(a) = θ_aᵀx + α√(xᵀA_a⁻¹x). SAPS uses S(a) = r_ucb(a) + τ_safe s_a, where s_a ~ Beta(α_a, β_a). We use α = 1, τ_safe = 2 and Beta(1,1) priors. Only the auxiliary outcome term is sampled; this is not Thompson sampling of the reward posterior.</w:t>
      </w:r>
    </w:p>
    <w:p>
      <w:r>
        <w:rPr>
          <w:rFonts w:ascii="Arial" w:hAnsi="Arial"/>
          <w:sz w:val="22"/>
        </w:rPr>
        <w:t>After an attempted task, reward updates A_a ← A_a + xxᵀ and b_a ← b_a + rx. Its Beta positive count increments if pain_change &lt;= 1.0; otherwise the negative count increments. This threshold is an authored symptom-change proxy, not a clinical adverse-event label. Beta parameters are per task and shared across users, without decay or a contextual posterior, limiting personalization and response to change.</w:t>
      </w:r>
    </w:p>
    <w:p>
      <w:r>
        <w:rPr>
          <w:rFonts w:ascii="Arial" w:hAnsi="Arial"/>
          <w:sz w:val="22"/>
        </w:rPr>
        <w:t>The adaptation is motivated by asymmetric costs: reward estimates alone need not discourage tasks associated with symptom increases. The auxiliary posterior can bias proposals, while independent hard filtering constrains delivery. Whether the bonus helps is an empirical question; the final ablation does not demonstrate a benefit.</w:t>
      </w:r>
    </w:p>
    <w:p>
      <w:pPr>
        <w:pStyle w:val="Heading2"/>
      </w:pPr>
      <w:r>
        <w:rPr>
          <w:rFonts w:ascii="Arial" w:hAnsi="Arial"/>
          <w:sz w:val="22"/>
        </w:rPr>
        <w:t>4.2 Runtime constraints versus soft terms</w:t>
      </w:r>
    </w:p>
    <w:p>
      <w:r>
        <w:rPr>
          <w:rFonts w:ascii="Arial" w:hAnsi="Arial"/>
          <w:sz w:val="22"/>
        </w:rPr>
        <w:t>PF_R1 excludes contraindication overlaps; PF_R2 excludes stage mismatches; PF_R3 excludes difficulty ≥4 when pain ≥7; PF_R4 limits fatigue ≥8 to rest/flexibility; PF_R5 excludes difficulty ≥3 or cardio when ROM &lt;60. Emotional caps and post-checks add restrictions, including consecutive high-intensity limits. A final validation checks delivered items. Recovery fallbacks must pass the same checks; an empty catalogue coverage gap raises an error rather than restoring an unsafe item.</w:t>
      </w:r>
    </w:p>
    <w:p>
      <w:r>
        <w:rPr>
          <w:rFonts w:ascii="Arial" w:hAnsi="Arial"/>
          <w:sz w:val="22"/>
        </w:rPr>
        <w:t>These predicates remain constraints regardless of the bonus value. A score drifting does not disable a predicate; however, an incomplete or incorrectly specified predicate can fail to capture real harm. Zero SVR therefore means compliance with implemented rules in observed cases, not proof that real patients are protected.</w:t>
      </w:r>
    </w:p>
    <w:p>
      <w:pPr>
        <w:pStyle w:val="Heading2"/>
      </w:pPr>
      <w:r>
        <w:rPr>
          <w:rFonts w:ascii="Arial" w:hAnsi="Arial"/>
          <w:sz w:val="22"/>
        </w:rPr>
        <w:t>4.3 Reward and skipped-task correction</w:t>
      </w:r>
    </w:p>
    <w:p>
      <w:r>
        <w:rPr>
          <w:rFonts w:ascii="Arial" w:hAnsi="Arial"/>
          <w:sz w:val="22"/>
        </w:rPr>
        <w:t>For attempted tasks, r = 0.35 c + 0.25 s + 0.20 d + 0.10 p + 0.05 q + 0.05 g, clipped to [0,1]. Here c is completion; s is a pain-change safety proxy; d is a Gaussian difficulty match to stress-dependent ideal difficulty (width 1.5); p penalizes positive pain change; q indicates non-skip; g is state-dependent category appropriateness. These are hand-designed utility terms, not a learned clinical endpoint.</w:t>
      </w:r>
    </w:p>
    <w:p>
      <w:r>
        <w:rPr>
          <w:rFonts w:ascii="Arial" w:hAnsi="Arial"/>
          <w:sz w:val="22"/>
        </w:rPr>
        <w:t>Skips no longer generate pain/fatigue/ROM/satisfaction, chosen-arm reward updates or Beta observations. Their zero in benchmark sums is bookkeeping with reward_observed=false. Only completed feedback increments recovery completion counts. The diagnostic raw ranking still supplies known infeasible-arm penalty updates, even on a skip; those are constraint labels rather than fabricated physical outcomes. Calendar/condition normalization is also corrected, and all final experiments use that source.</w:t>
      </w:r>
    </w:p>
    <w:p>
      <w:r>
        <w:rPr>
          <w:rFonts w:ascii="Arial" w:hAnsi="Arial"/>
          <w:sz w:val="22"/>
        </w:rPr>
        <w:br w:type="page"/>
      </w:r>
    </w:p>
    <w:p>
      <w:pPr>
        <w:pStyle w:val="Heading1"/>
      </w:pPr>
      <w:r>
        <w:rPr>
          <w:rFonts w:ascii="Arial" w:hAnsi="Arial"/>
          <w:sz w:val="22"/>
        </w:rPr>
        <w:t>5. Experimental setup and metric rationale</w:t>
      </w:r>
    </w:p>
    <w:p>
      <w:pPr>
        <w:pStyle w:val="Heading2"/>
      </w:pPr>
      <w:r>
        <w:rPr>
          <w:rFonts w:ascii="Arial" w:hAnsi="Arial"/>
          <w:sz w:val="22"/>
        </w:rPr>
        <w:t>5.1 Online protocol and data separation</w:t>
      </w:r>
    </w:p>
    <w:p>
      <w:r>
        <w:rPr>
          <w:rFonts w:ascii="Arial" w:hAnsi="Arial"/>
          <w:sz w:val="22"/>
        </w:rPr>
        <w:t>Each primary run uses all 20 personas for 60 days with one shared learner and one offered task per user-day. Prediction precedes outcome observation. There is no conventional offline training/validation/test split or public supervised ground truth. Learning proceeds inside rollouts; no pretrained model is required.</w:t>
      </w:r>
    </w:p>
    <w:p>
      <w:r>
        <w:rPr>
          <w:rFonts w:ascii="Arial" w:hAnsi="Arial"/>
          <w:sz w:val="22"/>
        </w:rPr>
        <w:t>Development diagnostics use seeds 42–51. Top-1 was chosen to match the live one-task interaction before inspecting these outcomes, rather than selecting the highest-reward setting. Final comparison uses previously uninspected seeds 52–61 with the same personas and simulator. This separates stochastic runs, not real patients or independent data-generating environments. No tau grid or broad performance tuning is performed.</w:t>
      </w:r>
    </w:p>
    <w:tbl>
      <w:tblPr>
        <w:tblStyle w:val="LightShading-Accent1"/>
        <w:tblW w:type="auto" w:w="0"/>
        <w:tblLook w:firstColumn="1" w:firstRow="1" w:lastColumn="0" w:lastRow="0" w:noHBand="0" w:noVBand="1" w:val="04A0"/>
      </w:tblPr>
      <w:tblGrid>
        <w:gridCol w:w="4873"/>
        <w:gridCol w:w="4873"/>
      </w:tblGrid>
      <w:tr>
        <w:trPr>
          <w:cantSplit/>
        </w:trPr>
        <w:tc>
          <w:tcPr>
            <w:tcW w:type="dxa" w:w="4873"/>
          </w:tcPr>
          <w:p>
            <w:pPr>
              <w:spacing w:after="60" w:before="0" w:line="240" w:lineRule="auto"/>
            </w:pPr>
            <w:r>
              <w:rPr>
                <w:rFonts w:ascii="Arial" w:hAnsi="Arial"/>
                <w:sz w:val="22"/>
              </w:rPr>
              <w:t>Configuration</w:t>
            </w:r>
          </w:p>
        </w:tc>
        <w:tc>
          <w:tcPr>
            <w:tcW w:type="dxa" w:w="4873"/>
          </w:tcPr>
          <w:p>
            <w:pPr>
              <w:spacing w:after="60" w:before="0" w:line="240" w:lineRule="auto"/>
            </w:pPr>
            <w:r>
              <w:rPr>
                <w:rFonts w:ascii="Arial" w:hAnsi="Arial"/>
                <w:sz w:val="22"/>
              </w:rPr>
              <w:t>Value</w:t>
            </w:r>
          </w:p>
        </w:tc>
      </w:tr>
      <w:tr>
        <w:trPr>
          <w:cantSplit/>
        </w:trPr>
        <w:tc>
          <w:tcPr>
            <w:tcW w:type="dxa" w:w="4873"/>
          </w:tcPr>
          <w:p>
            <w:pPr>
              <w:spacing w:after="60" w:before="0" w:line="240" w:lineRule="auto"/>
            </w:pPr>
            <w:r>
              <w:rPr>
                <w:rFonts w:ascii="Arial" w:hAnsi="Arial"/>
                <w:sz w:val="22"/>
              </w:rPr>
              <w:t>Primary / diagnostic / IER list sizes</w:t>
            </w:r>
          </w:p>
        </w:tc>
        <w:tc>
          <w:tcPr>
            <w:tcW w:type="dxa" w:w="4873"/>
          </w:tcPr>
          <w:p>
            <w:pPr>
              <w:spacing w:after="60" w:before="0" w:line="240" w:lineRule="auto"/>
            </w:pPr>
            <w:r>
              <w:rPr>
                <w:rFonts w:ascii="Arial" w:hAnsi="Arial"/>
                <w:sz w:val="22"/>
              </w:rPr>
              <w:t>1 / {1,3} / 5</w:t>
            </w:r>
          </w:p>
        </w:tc>
      </w:tr>
      <w:tr>
        <w:trPr>
          <w:cantSplit/>
        </w:trPr>
        <w:tc>
          <w:tcPr>
            <w:tcW w:type="dxa" w:w="4873"/>
          </w:tcPr>
          <w:p>
            <w:pPr>
              <w:spacing w:after="60" w:before="0" w:line="240" w:lineRule="auto"/>
            </w:pPr>
            <w:r>
              <w:rPr>
                <w:rFonts w:ascii="Arial" w:hAnsi="Arial"/>
                <w:sz w:val="22"/>
              </w:rPr>
              <w:t>SAPS; LinUCB</w:t>
            </w:r>
          </w:p>
        </w:tc>
        <w:tc>
          <w:tcPr>
            <w:tcW w:type="dxa" w:w="4873"/>
          </w:tcPr>
          <w:p>
            <w:pPr>
              <w:spacing w:after="60" w:before="0" w:line="240" w:lineRule="auto"/>
            </w:pPr>
            <w:r>
              <w:rPr>
                <w:rFonts w:ascii="Arial" w:hAnsi="Arial"/>
                <w:sz w:val="22"/>
              </w:rPr>
              <w:t>α_ucb 1, τ_safe 2, Beta(1,1); α 1</w:t>
            </w:r>
          </w:p>
        </w:tc>
      </w:tr>
      <w:tr>
        <w:trPr>
          <w:cantSplit/>
        </w:trPr>
        <w:tc>
          <w:tcPr>
            <w:tcW w:type="dxa" w:w="4873"/>
          </w:tcPr>
          <w:p>
            <w:pPr>
              <w:spacing w:after="60" w:before="0" w:line="240" w:lineRule="auto"/>
            </w:pPr>
            <w:r>
              <w:rPr>
                <w:rFonts w:ascii="Arial" w:hAnsi="Arial"/>
                <w:sz w:val="22"/>
              </w:rPr>
              <w:t>Modified NeuralUCB</w:t>
            </w:r>
          </w:p>
        </w:tc>
        <w:tc>
          <w:tcPr>
            <w:tcW w:type="dxa" w:w="4873"/>
          </w:tcPr>
          <w:p>
            <w:pPr>
              <w:spacing w:after="60" w:before="0" w:line="240" w:lineRule="auto"/>
            </w:pPr>
            <w:r>
              <w:rPr>
                <w:rFonts w:ascii="Arial" w:hAnsi="Arial"/>
                <w:sz w:val="22"/>
              </w:rPr>
              <w:t>Hidden width 32, 5 epochs, α 0.01, safety_lambda 3</w:t>
            </w:r>
          </w:p>
        </w:tc>
      </w:tr>
      <w:tr>
        <w:trPr>
          <w:cantSplit/>
        </w:trPr>
        <w:tc>
          <w:tcPr>
            <w:tcW w:type="dxa" w:w="4873"/>
          </w:tcPr>
          <w:p>
            <w:pPr>
              <w:spacing w:after="60" w:before="0" w:line="240" w:lineRule="auto"/>
            </w:pPr>
            <w:r>
              <w:rPr>
                <w:rFonts w:ascii="Arial" w:hAnsi="Arial"/>
                <w:sz w:val="22"/>
              </w:rPr>
              <w:t>Other policies</w:t>
            </w:r>
          </w:p>
        </w:tc>
        <w:tc>
          <w:tcPr>
            <w:tcW w:type="dxa" w:w="4873"/>
          </w:tcPr>
          <w:p>
            <w:pPr>
              <w:spacing w:after="60" w:before="0" w:line="240" w:lineRule="auto"/>
            </w:pPr>
            <w:r>
              <w:rPr>
                <w:rFonts w:ascii="Arial" w:hAnsi="Arial"/>
                <w:sz w:val="22"/>
              </w:rPr>
              <w:t>Base safety_lambda 1; epsilon-greedy ε 0.1</w:t>
            </w:r>
          </w:p>
        </w:tc>
      </w:tr>
      <w:tr>
        <w:trPr>
          <w:cantSplit/>
        </w:trPr>
        <w:tc>
          <w:tcPr>
            <w:tcW w:type="dxa" w:w="4873"/>
          </w:tcPr>
          <w:p>
            <w:pPr>
              <w:spacing w:after="60" w:before="0" w:line="240" w:lineRule="auto"/>
            </w:pPr>
            <w:r>
              <w:rPr>
                <w:rFonts w:ascii="Arial" w:hAnsi="Arial"/>
                <w:sz w:val="22"/>
              </w:rPr>
              <w:t>Randomness / inference</w:t>
            </w:r>
          </w:p>
        </w:tc>
        <w:tc>
          <w:tcPr>
            <w:tcW w:type="dxa" w:w="4873"/>
          </w:tcPr>
          <w:p>
            <w:pPr>
              <w:spacing w:after="60" w:before="0" w:line="240" w:lineRule="auto"/>
            </w:pPr>
            <w:r>
              <w:rPr>
                <w:rFonts w:ascii="Arial" w:hAnsi="Arial"/>
                <w:sz w:val="22"/>
              </w:rPr>
              <w:t>Seeded model/simulator RNGs; 10 final seed means as repetition units</w:t>
            </w:r>
          </w:p>
        </w:tc>
      </w:tr>
    </w:tbl>
    <w:p>
      <w:pPr>
        <w:pStyle w:val="Heading2"/>
      </w:pPr>
      <w:r>
        <w:rPr>
          <w:rFonts w:ascii="Arial" w:hAnsi="Arial"/>
          <w:sz w:val="22"/>
        </w:rPr>
        <w:t>5.2 Baselines and comparability</w:t>
      </w:r>
    </w:p>
    <w:p>
      <w:r>
        <w:rPr>
          <w:rFonts w:ascii="Arial" w:hAnsi="Arial"/>
          <w:sz w:val="22"/>
        </w:rPr>
        <w:t>LinUCB is the direct reward-backbone reference; Random tests whether learned ranking improves on feasible random selection. Popularity and epsilon-greedy exploit historical mean rewards. The inherited RuleBased scorer assigns the same score to every candidate, with stable catalogue order resolving ties. Modified NeuralUCB adds an arm-common context prediction to arm statistics/noise, so that prediction cancels in ranking; it also uses a stronger inherited infeasible-arm penalty. These limited references must not be presented as a strong clinical ranker or the original NeuralUCB [7].</w:t>
      </w:r>
    </w:p>
    <w:p>
      <w:pPr>
        <w:pStyle w:val="Heading2"/>
      </w:pPr>
      <w:r>
        <w:rPr>
          <w:rFonts w:ascii="Arial" w:hAnsi="Arial"/>
          <w:sz w:val="22"/>
        </w:rPr>
        <w:t>5.3 Metrics and why they match the task</w:t>
      </w:r>
    </w:p>
    <w:p>
      <w:r>
        <w:rPr>
          <w:rFonts w:ascii="Arial" w:hAnsi="Arial"/>
          <w:sz w:val="22"/>
        </w:rPr>
        <w:t>Primary utility is mean per-user cumulative reward. Acceptance = attempted tasks / scheduled user-days; completion = completed tasks / scheduled user-days. Both expose behavior hidden by reward aggregation, but are simulated outcomes, not observed adherence. Selected-task coverage counts distinct offered/selected IDs per user, including declined items; it is descriptive.</w:t>
      </w:r>
    </w:p>
    <w:p>
      <w:r>
        <w:rPr>
          <w:rFonts w:ascii="Arial" w:hAnsi="Arial"/>
          <w:sz w:val="22"/>
        </w:rPr>
        <w:t>SVR = rule-violating accepted tasks / accepted tasks, macro-averaged over users then seeds; users with no acceptance contribute zero. IER is the mean fraction of an ungated all-catalogue top-5 outside the current feasible set. SAPS explicitly bypasses its internal gate for this probe. IER exposes proposal burden hidden by a zero executed SVR, but low IER does not alone prove learning or safety. The stochastic probe also drives penalty updates, so is not passive instrumentation.</w:t>
      </w:r>
    </w:p>
    <w:p>
      <w:r>
        <w:rPr>
          <w:rFonts w:ascii="Arial" w:hAnsi="Arial"/>
          <w:sz w:val="22"/>
        </w:rPr>
        <w:t>Paired two-sided t intervals/tests use ten seed means, not users as independent replicates. Main reward comparisons apply Bonferroni correction across SAPS–LinUCB/Random; the bonus family covers reward/IER/acceptance. Different policies consume randomness differently despite matching seeds. Recall/NDCG against a chosen task would recycle simulator choice as relevance, so are not treated as independent ranking ground truth.</w:t>
      </w:r>
    </w:p>
    <w:p>
      <w:r>
        <w:rPr>
          <w:rFonts w:ascii="Arial" w:hAnsi="Arial"/>
          <w:sz w:val="22"/>
        </w:rPr>
        <w:br w:type="page"/>
      </w:r>
    </w:p>
    <w:p>
      <w:pPr>
        <w:pStyle w:val="Heading1"/>
      </w:pPr>
      <w:r>
        <w:rPr>
          <w:rFonts w:ascii="Arial" w:hAnsi="Arial"/>
          <w:sz w:val="22"/>
        </w:rPr>
        <w:t>6. Results and analysis</w:t>
      </w:r>
    </w:p>
    <w:p>
      <w:pPr>
        <w:pStyle w:val="Heading2"/>
      </w:pPr>
      <w:r>
        <w:rPr>
          <w:rFonts w:ascii="Arial" w:hAnsi="Arial"/>
          <w:sz w:val="22"/>
        </w:rPr>
        <w:t>6.1 Main comparison: final top-1 protocol</w:t>
      </w:r>
    </w:p>
    <w:p>
      <w:r>
        <w:rPr>
          <w:rFonts w:ascii="Arial" w:hAnsi="Arial"/>
          <w:sz w:val="22"/>
        </w:rPr>
        <w:t>Table 1 reports mean per-person 60-day cumulative reward, averaged across ten final seeds; ± denotes seed standard deviation, not patient uncertainty. Acceptance and completion are fractions of scheduled user-days. All final source and configuration fingerprints are stored in protocol.json.</w:t>
      </w:r>
    </w:p>
    <w:tbl>
      <w:tblPr>
        <w:tblStyle w:val="LightShading-Accent1"/>
        <w:tblW w:type="auto" w:w="0"/>
        <w:tblLook w:firstColumn="1" w:firstRow="1" w:lastColumn="0" w:lastRow="0" w:noHBand="0" w:noVBand="1" w:val="04A0"/>
      </w:tblPr>
      <w:tblGrid>
        <w:gridCol w:w="1949"/>
        <w:gridCol w:w="1949"/>
        <w:gridCol w:w="1949"/>
        <w:gridCol w:w="1949"/>
        <w:gridCol w:w="1949"/>
      </w:tblGrid>
      <w:tr>
        <w:trPr>
          <w:cantSplit/>
        </w:trPr>
        <w:tc>
          <w:tcPr>
            <w:tcW w:type="dxa" w:w="1949"/>
          </w:tcPr>
          <w:p>
            <w:pPr>
              <w:spacing w:after="60" w:before="0" w:line="240" w:lineRule="auto"/>
            </w:pPr>
            <w:r>
              <w:rPr>
                <w:rFonts w:ascii="Arial" w:hAnsi="Arial"/>
                <w:sz w:val="22"/>
              </w:rPr>
              <w:t>Policy</w:t>
            </w:r>
          </w:p>
        </w:tc>
        <w:tc>
          <w:tcPr>
            <w:tcW w:type="dxa" w:w="1949"/>
          </w:tcPr>
          <w:p>
            <w:pPr>
              <w:spacing w:after="60" w:before="0" w:line="240" w:lineRule="auto"/>
            </w:pPr>
            <w:r>
              <w:rPr>
                <w:rFonts w:ascii="Arial" w:hAnsi="Arial"/>
                <w:sz w:val="22"/>
              </w:rPr>
              <w:t>Reward</w:t>
            </w:r>
          </w:p>
        </w:tc>
        <w:tc>
          <w:tcPr>
            <w:tcW w:type="dxa" w:w="1949"/>
          </w:tcPr>
          <w:p>
            <w:pPr>
              <w:spacing w:after="60" w:before="0" w:line="240" w:lineRule="auto"/>
            </w:pPr>
            <w:r>
              <w:rPr>
                <w:rFonts w:ascii="Arial" w:hAnsi="Arial"/>
                <w:sz w:val="22"/>
              </w:rPr>
              <w:t>IER</w:t>
            </w:r>
          </w:p>
        </w:tc>
        <w:tc>
          <w:tcPr>
            <w:tcW w:type="dxa" w:w="1949"/>
          </w:tcPr>
          <w:p>
            <w:pPr>
              <w:spacing w:after="60" w:before="0" w:line="240" w:lineRule="auto"/>
            </w:pPr>
            <w:r>
              <w:rPr>
                <w:rFonts w:ascii="Arial" w:hAnsi="Arial"/>
                <w:sz w:val="22"/>
              </w:rPr>
              <w:t>Accept</w:t>
            </w:r>
          </w:p>
        </w:tc>
        <w:tc>
          <w:tcPr>
            <w:tcW w:type="dxa" w:w="1949"/>
          </w:tcPr>
          <w:p>
            <w:pPr>
              <w:spacing w:after="60" w:before="0" w:line="240" w:lineRule="auto"/>
            </w:pPr>
            <w:r>
              <w:rPr>
                <w:rFonts w:ascii="Arial" w:hAnsi="Arial"/>
                <w:sz w:val="22"/>
              </w:rPr>
              <w:t>Complete</w:t>
            </w:r>
          </w:p>
        </w:tc>
      </w:tr>
      <w:tr>
        <w:trPr>
          <w:cantSplit/>
        </w:trPr>
        <w:tc>
          <w:tcPr>
            <w:tcW w:type="dxa" w:w="1949"/>
          </w:tcPr>
          <w:p>
            <w:pPr>
              <w:spacing w:after="60" w:before="0" w:line="240" w:lineRule="auto"/>
            </w:pPr>
            <w:r>
              <w:rPr>
                <w:rFonts w:ascii="Arial" w:hAnsi="Arial"/>
                <w:sz w:val="22"/>
              </w:rPr>
              <w:t>SAPS</w:t>
            </w:r>
          </w:p>
        </w:tc>
        <w:tc>
          <w:tcPr>
            <w:tcW w:type="dxa" w:w="1949"/>
          </w:tcPr>
          <w:p>
            <w:pPr>
              <w:spacing w:after="60" w:before="0" w:line="240" w:lineRule="auto"/>
            </w:pPr>
            <w:r>
              <w:rPr>
                <w:rFonts w:ascii="Arial" w:hAnsi="Arial"/>
                <w:sz w:val="22"/>
              </w:rPr>
              <w:t>27.61 ± 0.60</w:t>
            </w:r>
          </w:p>
        </w:tc>
        <w:tc>
          <w:tcPr>
            <w:tcW w:type="dxa" w:w="1949"/>
          </w:tcPr>
          <w:p>
            <w:pPr>
              <w:spacing w:after="60" w:before="0" w:line="240" w:lineRule="auto"/>
            </w:pPr>
            <w:r>
              <w:rPr>
                <w:rFonts w:ascii="Arial" w:hAnsi="Arial"/>
                <w:sz w:val="22"/>
              </w:rPr>
              <w:t>0.01535</w:t>
            </w:r>
          </w:p>
        </w:tc>
        <w:tc>
          <w:tcPr>
            <w:tcW w:type="dxa" w:w="1949"/>
          </w:tcPr>
          <w:p>
            <w:pPr>
              <w:spacing w:after="60" w:before="0" w:line="240" w:lineRule="auto"/>
            </w:pPr>
            <w:r>
              <w:rPr>
                <w:rFonts w:ascii="Arial" w:hAnsi="Arial"/>
                <w:sz w:val="22"/>
              </w:rPr>
              <w:t>0.549</w:t>
            </w:r>
          </w:p>
        </w:tc>
        <w:tc>
          <w:tcPr>
            <w:tcW w:type="dxa" w:w="1949"/>
          </w:tcPr>
          <w:p>
            <w:pPr>
              <w:spacing w:after="60" w:before="0" w:line="240" w:lineRule="auto"/>
            </w:pPr>
            <w:r>
              <w:rPr>
                <w:rFonts w:ascii="Arial" w:hAnsi="Arial"/>
                <w:sz w:val="22"/>
              </w:rPr>
              <w:t>0.521</w:t>
            </w:r>
          </w:p>
        </w:tc>
      </w:tr>
      <w:tr>
        <w:trPr>
          <w:cantSplit/>
        </w:trPr>
        <w:tc>
          <w:tcPr>
            <w:tcW w:type="dxa" w:w="1949"/>
          </w:tcPr>
          <w:p>
            <w:pPr>
              <w:spacing w:after="60" w:before="0" w:line="240" w:lineRule="auto"/>
            </w:pPr>
            <w:r>
              <w:rPr>
                <w:rFonts w:ascii="Arial" w:hAnsi="Arial"/>
                <w:sz w:val="22"/>
              </w:rPr>
              <w:t>LinUCB</w:t>
            </w:r>
          </w:p>
        </w:tc>
        <w:tc>
          <w:tcPr>
            <w:tcW w:type="dxa" w:w="1949"/>
          </w:tcPr>
          <w:p>
            <w:pPr>
              <w:spacing w:after="60" w:before="0" w:line="240" w:lineRule="auto"/>
            </w:pPr>
            <w:r>
              <w:rPr>
                <w:rFonts w:ascii="Arial" w:hAnsi="Arial"/>
                <w:sz w:val="22"/>
              </w:rPr>
              <w:t>27.40 ± 0.69</w:t>
            </w:r>
          </w:p>
        </w:tc>
        <w:tc>
          <w:tcPr>
            <w:tcW w:type="dxa" w:w="1949"/>
          </w:tcPr>
          <w:p>
            <w:pPr>
              <w:spacing w:after="60" w:before="0" w:line="240" w:lineRule="auto"/>
            </w:pPr>
            <w:r>
              <w:rPr>
                <w:rFonts w:ascii="Arial" w:hAnsi="Arial"/>
                <w:sz w:val="22"/>
              </w:rPr>
              <w:t>0.01528</w:t>
            </w:r>
          </w:p>
        </w:tc>
        <w:tc>
          <w:tcPr>
            <w:tcW w:type="dxa" w:w="1949"/>
          </w:tcPr>
          <w:p>
            <w:pPr>
              <w:spacing w:after="60" w:before="0" w:line="240" w:lineRule="auto"/>
            </w:pPr>
            <w:r>
              <w:rPr>
                <w:rFonts w:ascii="Arial" w:hAnsi="Arial"/>
                <w:sz w:val="22"/>
              </w:rPr>
              <w:t>0.545</w:t>
            </w:r>
          </w:p>
        </w:tc>
        <w:tc>
          <w:tcPr>
            <w:tcW w:type="dxa" w:w="1949"/>
          </w:tcPr>
          <w:p>
            <w:pPr>
              <w:spacing w:after="60" w:before="0" w:line="240" w:lineRule="auto"/>
            </w:pPr>
            <w:r>
              <w:rPr>
                <w:rFonts w:ascii="Arial" w:hAnsi="Arial"/>
                <w:sz w:val="22"/>
              </w:rPr>
              <w:t>0.518</w:t>
            </w:r>
          </w:p>
        </w:tc>
      </w:tr>
      <w:tr>
        <w:trPr>
          <w:cantSplit/>
        </w:trPr>
        <w:tc>
          <w:tcPr>
            <w:tcW w:type="dxa" w:w="1949"/>
          </w:tcPr>
          <w:p>
            <w:pPr>
              <w:spacing w:after="60" w:before="0" w:line="240" w:lineRule="auto"/>
            </w:pPr>
            <w:r>
              <w:rPr>
                <w:rFonts w:ascii="Arial" w:hAnsi="Arial"/>
                <w:sz w:val="22"/>
              </w:rPr>
              <w:t>Modified Neural</w:t>
            </w:r>
          </w:p>
        </w:tc>
        <w:tc>
          <w:tcPr>
            <w:tcW w:type="dxa" w:w="1949"/>
          </w:tcPr>
          <w:p>
            <w:pPr>
              <w:spacing w:after="60" w:before="0" w:line="240" w:lineRule="auto"/>
            </w:pPr>
            <w:r>
              <w:rPr>
                <w:rFonts w:ascii="Arial" w:hAnsi="Arial"/>
                <w:sz w:val="22"/>
              </w:rPr>
              <w:t>22.20 ± 1.67</w:t>
            </w:r>
          </w:p>
        </w:tc>
        <w:tc>
          <w:tcPr>
            <w:tcW w:type="dxa" w:w="1949"/>
          </w:tcPr>
          <w:p>
            <w:pPr>
              <w:spacing w:after="60" w:before="0" w:line="240" w:lineRule="auto"/>
            </w:pPr>
            <w:r>
              <w:rPr>
                <w:rFonts w:ascii="Arial" w:hAnsi="Arial"/>
                <w:sz w:val="22"/>
              </w:rPr>
              <w:t>0.00035</w:t>
            </w:r>
          </w:p>
        </w:tc>
        <w:tc>
          <w:tcPr>
            <w:tcW w:type="dxa" w:w="1949"/>
          </w:tcPr>
          <w:p>
            <w:pPr>
              <w:spacing w:after="60" w:before="0" w:line="240" w:lineRule="auto"/>
            </w:pPr>
            <w:r>
              <w:rPr>
                <w:rFonts w:ascii="Arial" w:hAnsi="Arial"/>
                <w:sz w:val="22"/>
              </w:rPr>
              <w:t>0.441</w:t>
            </w:r>
          </w:p>
        </w:tc>
        <w:tc>
          <w:tcPr>
            <w:tcW w:type="dxa" w:w="1949"/>
          </w:tcPr>
          <w:p>
            <w:pPr>
              <w:spacing w:after="60" w:before="0" w:line="240" w:lineRule="auto"/>
            </w:pPr>
            <w:r>
              <w:rPr>
                <w:rFonts w:ascii="Arial" w:hAnsi="Arial"/>
                <w:sz w:val="22"/>
              </w:rPr>
              <w:t>0.420</w:t>
            </w:r>
          </w:p>
        </w:tc>
      </w:tr>
      <w:tr>
        <w:trPr>
          <w:cantSplit/>
        </w:trPr>
        <w:tc>
          <w:tcPr>
            <w:tcW w:type="dxa" w:w="1949"/>
          </w:tcPr>
          <w:p>
            <w:pPr>
              <w:spacing w:after="60" w:before="0" w:line="240" w:lineRule="auto"/>
            </w:pPr>
            <w:r>
              <w:rPr>
                <w:rFonts w:ascii="Arial" w:hAnsi="Arial"/>
                <w:sz w:val="22"/>
              </w:rPr>
              <w:t>Random</w:t>
            </w:r>
          </w:p>
        </w:tc>
        <w:tc>
          <w:tcPr>
            <w:tcW w:type="dxa" w:w="1949"/>
          </w:tcPr>
          <w:p>
            <w:pPr>
              <w:spacing w:after="60" w:before="0" w:line="240" w:lineRule="auto"/>
            </w:pPr>
            <w:r>
              <w:rPr>
                <w:rFonts w:ascii="Arial" w:hAnsi="Arial"/>
                <w:sz w:val="22"/>
              </w:rPr>
              <w:t>32.25 ± 0.66</w:t>
            </w:r>
          </w:p>
        </w:tc>
        <w:tc>
          <w:tcPr>
            <w:tcW w:type="dxa" w:w="1949"/>
          </w:tcPr>
          <w:p>
            <w:pPr>
              <w:spacing w:after="60" w:before="0" w:line="240" w:lineRule="auto"/>
            </w:pPr>
            <w:r>
              <w:rPr>
                <w:rFonts w:ascii="Arial" w:hAnsi="Arial"/>
                <w:sz w:val="22"/>
              </w:rPr>
              <w:t>0.41082</w:t>
            </w:r>
          </w:p>
        </w:tc>
        <w:tc>
          <w:tcPr>
            <w:tcW w:type="dxa" w:w="1949"/>
          </w:tcPr>
          <w:p>
            <w:pPr>
              <w:spacing w:after="60" w:before="0" w:line="240" w:lineRule="auto"/>
            </w:pPr>
            <w:r>
              <w:rPr>
                <w:rFonts w:ascii="Arial" w:hAnsi="Arial"/>
                <w:sz w:val="22"/>
              </w:rPr>
              <w:t>0.622</w:t>
            </w:r>
          </w:p>
        </w:tc>
        <w:tc>
          <w:tcPr>
            <w:tcW w:type="dxa" w:w="1949"/>
          </w:tcPr>
          <w:p>
            <w:pPr>
              <w:spacing w:after="60" w:before="0" w:line="240" w:lineRule="auto"/>
            </w:pPr>
            <w:r>
              <w:rPr>
                <w:rFonts w:ascii="Arial" w:hAnsi="Arial"/>
                <w:sz w:val="22"/>
              </w:rPr>
              <w:t>0.584</w:t>
            </w:r>
          </w:p>
        </w:tc>
      </w:tr>
      <w:tr>
        <w:trPr>
          <w:cantSplit/>
        </w:trPr>
        <w:tc>
          <w:tcPr>
            <w:tcW w:type="dxa" w:w="1949"/>
          </w:tcPr>
          <w:p>
            <w:pPr>
              <w:spacing w:after="60" w:before="0" w:line="240" w:lineRule="auto"/>
            </w:pPr>
            <w:r>
              <w:rPr>
                <w:rFonts w:ascii="Arial" w:hAnsi="Arial"/>
                <w:sz w:val="22"/>
              </w:rPr>
              <w:t>Popularity</w:t>
            </w:r>
          </w:p>
        </w:tc>
        <w:tc>
          <w:tcPr>
            <w:tcW w:type="dxa" w:w="1949"/>
          </w:tcPr>
          <w:p>
            <w:pPr>
              <w:spacing w:after="60" w:before="0" w:line="240" w:lineRule="auto"/>
            </w:pPr>
            <w:r>
              <w:rPr>
                <w:rFonts w:ascii="Arial" w:hAnsi="Arial"/>
                <w:sz w:val="22"/>
              </w:rPr>
              <w:t>22.99 ± 0.79</w:t>
            </w:r>
          </w:p>
        </w:tc>
        <w:tc>
          <w:tcPr>
            <w:tcW w:type="dxa" w:w="1949"/>
          </w:tcPr>
          <w:p>
            <w:pPr>
              <w:spacing w:after="60" w:before="0" w:line="240" w:lineRule="auto"/>
            </w:pPr>
            <w:r>
              <w:rPr>
                <w:rFonts w:ascii="Arial" w:hAnsi="Arial"/>
                <w:sz w:val="22"/>
              </w:rPr>
              <w:t>0.01060</w:t>
            </w:r>
          </w:p>
        </w:tc>
        <w:tc>
          <w:tcPr>
            <w:tcW w:type="dxa" w:w="1949"/>
          </w:tcPr>
          <w:p>
            <w:pPr>
              <w:spacing w:after="60" w:before="0" w:line="240" w:lineRule="auto"/>
            </w:pPr>
            <w:r>
              <w:rPr>
                <w:rFonts w:ascii="Arial" w:hAnsi="Arial"/>
                <w:sz w:val="22"/>
              </w:rPr>
              <w:t>0.455</w:t>
            </w:r>
          </w:p>
        </w:tc>
        <w:tc>
          <w:tcPr>
            <w:tcW w:type="dxa" w:w="1949"/>
          </w:tcPr>
          <w:p>
            <w:pPr>
              <w:spacing w:after="60" w:before="0" w:line="240" w:lineRule="auto"/>
            </w:pPr>
            <w:r>
              <w:rPr>
                <w:rFonts w:ascii="Arial" w:hAnsi="Arial"/>
                <w:sz w:val="22"/>
              </w:rPr>
              <w:t>0.435</w:t>
            </w:r>
          </w:p>
        </w:tc>
      </w:tr>
      <w:tr>
        <w:trPr>
          <w:cantSplit/>
        </w:trPr>
        <w:tc>
          <w:tcPr>
            <w:tcW w:type="dxa" w:w="1949"/>
          </w:tcPr>
          <w:p>
            <w:pPr>
              <w:spacing w:after="60" w:before="0" w:line="240" w:lineRule="auto"/>
            </w:pPr>
            <w:r>
              <w:rPr>
                <w:rFonts w:ascii="Arial" w:hAnsi="Arial"/>
                <w:sz w:val="22"/>
              </w:rPr>
              <w:t>RuleBased</w:t>
            </w:r>
          </w:p>
        </w:tc>
        <w:tc>
          <w:tcPr>
            <w:tcW w:type="dxa" w:w="1949"/>
          </w:tcPr>
          <w:p>
            <w:pPr>
              <w:spacing w:after="60" w:before="0" w:line="240" w:lineRule="auto"/>
            </w:pPr>
            <w:r>
              <w:rPr>
                <w:rFonts w:ascii="Arial" w:hAnsi="Arial"/>
                <w:sz w:val="22"/>
              </w:rPr>
              <w:t>22.02 ± 0.68</w:t>
            </w:r>
          </w:p>
        </w:tc>
        <w:tc>
          <w:tcPr>
            <w:tcW w:type="dxa" w:w="1949"/>
          </w:tcPr>
          <w:p>
            <w:pPr>
              <w:spacing w:after="60" w:before="0" w:line="240" w:lineRule="auto"/>
            </w:pPr>
            <w:r>
              <w:rPr>
                <w:rFonts w:ascii="Arial" w:hAnsi="Arial"/>
                <w:sz w:val="22"/>
              </w:rPr>
              <w:t>0.32597</w:t>
            </w:r>
          </w:p>
        </w:tc>
        <w:tc>
          <w:tcPr>
            <w:tcW w:type="dxa" w:w="1949"/>
          </w:tcPr>
          <w:p>
            <w:pPr>
              <w:spacing w:after="60" w:before="0" w:line="240" w:lineRule="auto"/>
            </w:pPr>
            <w:r>
              <w:rPr>
                <w:rFonts w:ascii="Arial" w:hAnsi="Arial"/>
                <w:sz w:val="22"/>
              </w:rPr>
              <w:t>0.438</w:t>
            </w:r>
          </w:p>
        </w:tc>
        <w:tc>
          <w:tcPr>
            <w:tcW w:type="dxa" w:w="1949"/>
          </w:tcPr>
          <w:p>
            <w:pPr>
              <w:spacing w:after="60" w:before="0" w:line="240" w:lineRule="auto"/>
            </w:pPr>
            <w:r>
              <w:rPr>
                <w:rFonts w:ascii="Arial" w:hAnsi="Arial"/>
                <w:sz w:val="22"/>
              </w:rPr>
              <w:t>0.415</w:t>
            </w:r>
          </w:p>
        </w:tc>
      </w:tr>
      <w:tr>
        <w:trPr>
          <w:cantSplit/>
        </w:trPr>
        <w:tc>
          <w:tcPr>
            <w:tcW w:type="dxa" w:w="1949"/>
          </w:tcPr>
          <w:p>
            <w:pPr>
              <w:spacing w:after="60" w:before="0" w:line="240" w:lineRule="auto"/>
            </w:pPr>
            <w:r>
              <w:rPr>
                <w:rFonts w:ascii="Arial" w:hAnsi="Arial"/>
                <w:sz w:val="22"/>
              </w:rPr>
              <w:t>ε-Greedy</w:t>
            </w:r>
          </w:p>
        </w:tc>
        <w:tc>
          <w:tcPr>
            <w:tcW w:type="dxa" w:w="1949"/>
          </w:tcPr>
          <w:p>
            <w:pPr>
              <w:spacing w:after="60" w:before="0" w:line="240" w:lineRule="auto"/>
            </w:pPr>
            <w:r>
              <w:rPr>
                <w:rFonts w:ascii="Arial" w:hAnsi="Arial"/>
                <w:sz w:val="22"/>
              </w:rPr>
              <w:t>24.74 ± 1.03</w:t>
            </w:r>
          </w:p>
        </w:tc>
        <w:tc>
          <w:tcPr>
            <w:tcW w:type="dxa" w:w="1949"/>
          </w:tcPr>
          <w:p>
            <w:pPr>
              <w:spacing w:after="60" w:before="0" w:line="240" w:lineRule="auto"/>
            </w:pPr>
            <w:r>
              <w:rPr>
                <w:rFonts w:ascii="Arial" w:hAnsi="Arial"/>
                <w:sz w:val="22"/>
              </w:rPr>
              <w:t>0.05245</w:t>
            </w:r>
          </w:p>
        </w:tc>
        <w:tc>
          <w:tcPr>
            <w:tcW w:type="dxa" w:w="1949"/>
          </w:tcPr>
          <w:p>
            <w:pPr>
              <w:spacing w:after="60" w:before="0" w:line="240" w:lineRule="auto"/>
            </w:pPr>
            <w:r>
              <w:rPr>
                <w:rFonts w:ascii="Arial" w:hAnsi="Arial"/>
                <w:sz w:val="22"/>
              </w:rPr>
              <w:t>0.490</w:t>
            </w:r>
          </w:p>
        </w:tc>
        <w:tc>
          <w:tcPr>
            <w:tcW w:type="dxa" w:w="1949"/>
          </w:tcPr>
          <w:p>
            <w:pPr>
              <w:spacing w:after="60" w:before="0" w:line="240" w:lineRule="auto"/>
            </w:pPr>
            <w:r>
              <w:rPr>
                <w:rFonts w:ascii="Arial" w:hAnsi="Arial"/>
                <w:sz w:val="22"/>
              </w:rPr>
              <w:t>0.464</w:t>
            </w:r>
          </w:p>
        </w:tc>
      </w:tr>
    </w:tbl>
    <w:p>
      <w:r>
        <w:rPr>
          <w:rFonts w:ascii="Arial" w:hAnsi="Arial"/>
          <w:sz w:val="22"/>
        </w:rPr>
        <w:t>Table 1. All seven filtered policies have macro SVR = 0 and assigned fraction = 1 over their observed runs. Those checks cover specified predicates, not all clinical contraindications or the 51 design definitions. The complete values and per-user/per-run observations are in evaluation/results/final/main.json.</w:t>
      </w:r>
    </w:p>
    <w:p>
      <w:r>
        <w:rPr>
          <w:rFonts w:ascii="Arial" w:hAnsi="Arial"/>
          <w:sz w:val="22"/>
        </w:rPr>
        <w:t>SAPS reward is 27.6085 versus LinUCB 27.3975: difference +0.2110, seed-paired 95% CI [−0.2159, 0.6378], raw p=0.2925 and adjusted p=0.5850. This is not evidence of a reward improvement. IER is also nearly identical (0.01535 versus 0.01528), rather than showing the sampled bonus improves proposals.</w:t>
      </w:r>
    </w:p>
    <w:p>
      <w:r>
        <w:rPr>
          <w:rFonts w:ascii="Arial" w:hAnsi="Arial"/>
          <w:sz w:val="22"/>
        </w:rPr>
        <w:t>Random reward is 32.2533, above SAPS by 4.6448. SAPS–Random 95% CI is [−5.1902, −4.0994] with adjusted p=2.53×10⁻⁸. Random has high raw IER (0.41082), but its delivered tasks are filtered and its SVR is zero. Thus lower proposal infeasibility is not sufficient to justify SAPS as the better delivered recommender in this environment.</w:t>
      </w:r>
    </w:p>
    <w:p>
      <w:pPr>
        <w:pStyle w:val="Heading2"/>
      </w:pPr>
      <w:r>
        <w:rPr>
          <w:rFonts w:ascii="Arial" w:hAnsi="Arial"/>
          <w:sz w:val="22"/>
        </w:rPr>
        <w:t>6.2 What the results establish</w:t>
      </w:r>
    </w:p>
    <w:p>
      <w:r>
        <w:rPr>
          <w:rFonts w:ascii="Arial" w:hAnsi="Arial"/>
          <w:sz w:val="22"/>
        </w:rPr>
        <w:t>The hard layer makes filtered policies comply with implemented predicates in the sampled cohort; the rankers differ in simulated utility, acceptance and task breadth. IER measures a different layer from SVR and is useful for inspection, but is not a substitute for accepted-task utility. A rule-infeasible raw proposal is not an observed adverse clinical event.</w:t>
      </w:r>
    </w:p>
    <w:p>
      <w:r>
        <w:rPr>
          <w:rFonts w:ascii="Arial" w:hAnsi="Arial"/>
          <w:sz w:val="22"/>
        </w:rPr>
        <w:t>The especially low IER of modified NeuralUCB accompanies low reward and approximately one distinct task per user, not a uniquely successful recommender. Safety-informed initialization and penalized arm statistics can make a narrow policy appear good on proposal feasibility. RuleBased’s poor ranking validity and catalogue-order ties further limit its value as evidence of SAPS superiority.</w:t>
      </w:r>
    </w:p>
    <w:p>
      <w:pPr>
        <w:pStyle w:val="Heading2"/>
      </w:pPr>
      <w:r>
        <w:rPr>
          <w:rFonts w:ascii="Arial" w:hAnsi="Arial"/>
          <w:sz w:val="22"/>
        </w:rPr>
        <w:t>6.3 Relation to earlier results</w:t>
      </w:r>
    </w:p>
    <w:p>
      <w:r>
        <w:rPr>
          <w:rFonts w:ascii="Arial" w:hAnsi="Arial"/>
          <w:sz w:val="22"/>
        </w:rPr>
        <w:t>Earlier presentation tables used a different shortlist and skipped-task outcome semantics. Those bytes and reports are preserved under archive/pre-submission, but are superseded as evidence for this final source. Reward differences across versions are not performance gains or losses under an unchanged protocol. Final conclusions use only the rerun artifacts cited here.</w:t>
      </w:r>
    </w:p>
    <w:p>
      <w:r>
        <w:rPr>
          <w:rFonts w:ascii="Arial" w:hAnsi="Arial"/>
          <w:sz w:val="22"/>
        </w:rPr>
        <w:br w:type="page"/>
      </w:r>
    </w:p>
    <w:p>
      <w:pPr>
        <w:pStyle w:val="Heading1"/>
      </w:pPr>
      <w:r>
        <w:rPr>
          <w:rFonts w:ascii="Arial" w:hAnsi="Arial"/>
          <w:sz w:val="22"/>
        </w:rPr>
        <w:t>6.4 Shortlist and coverage diagnostics</w:t>
      </w:r>
    </w:p>
    <w:p>
      <w:r>
        <w:rPr>
          <w:rFonts w:ascii="Arial" w:hAnsi="Arial"/>
          <w:sz w:val="22"/>
        </w:rPr>
        <w:t>The development experiment compares top-1 and top-3 for SAPS, LinUCB and Random using ten seeds 42–51. The simulated user selects the highest-utility candidate with noise, so changing shortlist size changes the decision problem and stochastic draw consumption. This is not Precision@1 versus Precision@3 on a fixed relevance set.</w:t>
      </w:r>
    </w:p>
    <w:tbl>
      <w:tblPr>
        <w:tblStyle w:val="LightShading-Accent1"/>
        <w:tblW w:type="auto" w:w="0"/>
        <w:tblLook w:firstColumn="1" w:firstRow="1" w:lastColumn="0" w:lastRow="0" w:noHBand="0" w:noVBand="1" w:val="04A0"/>
      </w:tblPr>
      <w:tblGrid>
        <w:gridCol w:w="1949"/>
        <w:gridCol w:w="1949"/>
        <w:gridCol w:w="1949"/>
        <w:gridCol w:w="1949"/>
        <w:gridCol w:w="1949"/>
      </w:tblGrid>
      <w:tr>
        <w:trPr>
          <w:cantSplit/>
        </w:trPr>
        <w:tc>
          <w:tcPr>
            <w:tcW w:type="dxa" w:w="1949"/>
          </w:tcPr>
          <w:p>
            <w:pPr>
              <w:spacing w:after="60" w:before="0" w:line="240" w:lineRule="auto"/>
            </w:pPr>
            <w:r>
              <w:rPr>
                <w:rFonts w:ascii="Arial" w:hAnsi="Arial"/>
                <w:sz w:val="22"/>
              </w:rPr>
              <w:t>Policy</w:t>
            </w:r>
          </w:p>
        </w:tc>
        <w:tc>
          <w:tcPr>
            <w:tcW w:type="dxa" w:w="1949"/>
          </w:tcPr>
          <w:p>
            <w:pPr>
              <w:spacing w:after="60" w:before="0" w:line="240" w:lineRule="auto"/>
            </w:pPr>
            <w:r>
              <w:rPr>
                <w:rFonts w:ascii="Arial" w:hAnsi="Arial"/>
                <w:sz w:val="22"/>
              </w:rPr>
              <w:t>K</w:t>
            </w:r>
          </w:p>
        </w:tc>
        <w:tc>
          <w:tcPr>
            <w:tcW w:type="dxa" w:w="1949"/>
          </w:tcPr>
          <w:p>
            <w:pPr>
              <w:spacing w:after="60" w:before="0" w:line="240" w:lineRule="auto"/>
            </w:pPr>
            <w:r>
              <w:rPr>
                <w:rFonts w:ascii="Arial" w:hAnsi="Arial"/>
                <w:sz w:val="22"/>
              </w:rPr>
              <w:t>Reward</w:t>
            </w:r>
          </w:p>
        </w:tc>
        <w:tc>
          <w:tcPr>
            <w:tcW w:type="dxa" w:w="1949"/>
          </w:tcPr>
          <w:p>
            <w:pPr>
              <w:spacing w:after="60" w:before="0" w:line="240" w:lineRule="auto"/>
            </w:pPr>
            <w:r>
              <w:rPr>
                <w:rFonts w:ascii="Arial" w:hAnsi="Arial"/>
                <w:sz w:val="22"/>
              </w:rPr>
              <w:t>Unique / user</w:t>
            </w:r>
          </w:p>
        </w:tc>
        <w:tc>
          <w:tcPr>
            <w:tcW w:type="dxa" w:w="1949"/>
          </w:tcPr>
          <w:p>
            <w:pPr>
              <w:spacing w:after="60" w:before="0" w:line="240" w:lineRule="auto"/>
            </w:pPr>
            <w:r>
              <w:rPr>
                <w:rFonts w:ascii="Arial" w:hAnsi="Arial"/>
                <w:sz w:val="22"/>
              </w:rPr>
              <w:t>Non-first choice</w:t>
            </w:r>
          </w:p>
        </w:tc>
      </w:tr>
      <w:tr>
        <w:trPr>
          <w:cantSplit/>
        </w:trPr>
        <w:tc>
          <w:tcPr>
            <w:tcW w:type="dxa" w:w="1949"/>
          </w:tcPr>
          <w:p>
            <w:pPr>
              <w:spacing w:after="60" w:before="0" w:line="240" w:lineRule="auto"/>
            </w:pPr>
            <w:r>
              <w:rPr>
                <w:rFonts w:ascii="Arial" w:hAnsi="Arial"/>
                <w:sz w:val="22"/>
              </w:rPr>
              <w:t>SAPS</w:t>
            </w:r>
          </w:p>
        </w:tc>
        <w:tc>
          <w:tcPr>
            <w:tcW w:type="dxa" w:w="1949"/>
          </w:tcPr>
          <w:p>
            <w:pPr>
              <w:spacing w:after="60" w:before="0" w:line="240" w:lineRule="auto"/>
            </w:pPr>
            <w:r>
              <w:rPr>
                <w:rFonts w:ascii="Arial" w:hAnsi="Arial"/>
                <w:sz w:val="22"/>
              </w:rPr>
              <w:t>1</w:t>
            </w:r>
          </w:p>
        </w:tc>
        <w:tc>
          <w:tcPr>
            <w:tcW w:type="dxa" w:w="1949"/>
          </w:tcPr>
          <w:p>
            <w:pPr>
              <w:spacing w:after="60" w:before="0" w:line="240" w:lineRule="auto"/>
            </w:pPr>
            <w:r>
              <w:rPr>
                <w:rFonts w:ascii="Arial" w:hAnsi="Arial"/>
                <w:sz w:val="22"/>
              </w:rPr>
              <w:t>27.011</w:t>
            </w:r>
          </w:p>
        </w:tc>
        <w:tc>
          <w:tcPr>
            <w:tcW w:type="dxa" w:w="1949"/>
          </w:tcPr>
          <w:p>
            <w:pPr>
              <w:spacing w:after="60" w:before="0" w:line="240" w:lineRule="auto"/>
            </w:pPr>
            <w:r>
              <w:rPr>
                <w:rFonts w:ascii="Arial" w:hAnsi="Arial"/>
                <w:sz w:val="22"/>
              </w:rPr>
              <w:t>17.59</w:t>
            </w:r>
          </w:p>
        </w:tc>
        <w:tc>
          <w:tcPr>
            <w:tcW w:type="dxa" w:w="1949"/>
          </w:tcPr>
          <w:p>
            <w:pPr>
              <w:spacing w:after="60" w:before="0" w:line="240" w:lineRule="auto"/>
            </w:pPr>
            <w:r>
              <w:rPr>
                <w:rFonts w:ascii="Arial" w:hAnsi="Arial"/>
                <w:sz w:val="22"/>
              </w:rPr>
              <w:t>0.000</w:t>
            </w:r>
          </w:p>
        </w:tc>
      </w:tr>
      <w:tr>
        <w:trPr>
          <w:cantSplit/>
        </w:trPr>
        <w:tc>
          <w:tcPr>
            <w:tcW w:type="dxa" w:w="1949"/>
          </w:tcPr>
          <w:p>
            <w:pPr>
              <w:spacing w:after="60" w:before="0" w:line="240" w:lineRule="auto"/>
            </w:pPr>
            <w:r>
              <w:rPr>
                <w:rFonts w:ascii="Arial" w:hAnsi="Arial"/>
                <w:sz w:val="22"/>
              </w:rPr>
              <w:t>SAPS</w:t>
            </w:r>
          </w:p>
        </w:tc>
        <w:tc>
          <w:tcPr>
            <w:tcW w:type="dxa" w:w="1949"/>
          </w:tcPr>
          <w:p>
            <w:pPr>
              <w:spacing w:after="60" w:before="0" w:line="240" w:lineRule="auto"/>
            </w:pPr>
            <w:r>
              <w:rPr>
                <w:rFonts w:ascii="Arial" w:hAnsi="Arial"/>
                <w:sz w:val="22"/>
              </w:rPr>
              <w:t>3</w:t>
            </w:r>
          </w:p>
        </w:tc>
        <w:tc>
          <w:tcPr>
            <w:tcW w:type="dxa" w:w="1949"/>
          </w:tcPr>
          <w:p>
            <w:pPr>
              <w:spacing w:after="60" w:before="0" w:line="240" w:lineRule="auto"/>
            </w:pPr>
            <w:r>
              <w:rPr>
                <w:rFonts w:ascii="Arial" w:hAnsi="Arial"/>
                <w:sz w:val="22"/>
              </w:rPr>
              <w:t>31.318</w:t>
            </w:r>
          </w:p>
        </w:tc>
        <w:tc>
          <w:tcPr>
            <w:tcW w:type="dxa" w:w="1949"/>
          </w:tcPr>
          <w:p>
            <w:pPr>
              <w:spacing w:after="60" w:before="0" w:line="240" w:lineRule="auto"/>
            </w:pPr>
            <w:r>
              <w:rPr>
                <w:rFonts w:ascii="Arial" w:hAnsi="Arial"/>
                <w:sz w:val="22"/>
              </w:rPr>
              <w:t>18.61</w:t>
            </w:r>
          </w:p>
        </w:tc>
        <w:tc>
          <w:tcPr>
            <w:tcW w:type="dxa" w:w="1949"/>
          </w:tcPr>
          <w:p>
            <w:pPr>
              <w:spacing w:after="60" w:before="0" w:line="240" w:lineRule="auto"/>
            </w:pPr>
            <w:r>
              <w:rPr>
                <w:rFonts w:ascii="Arial" w:hAnsi="Arial"/>
                <w:sz w:val="22"/>
              </w:rPr>
              <w:t>0.655</w:t>
            </w:r>
          </w:p>
        </w:tc>
      </w:tr>
      <w:tr>
        <w:trPr>
          <w:cantSplit/>
        </w:trPr>
        <w:tc>
          <w:tcPr>
            <w:tcW w:type="dxa" w:w="1949"/>
          </w:tcPr>
          <w:p>
            <w:pPr>
              <w:spacing w:after="60" w:before="0" w:line="240" w:lineRule="auto"/>
            </w:pPr>
            <w:r>
              <w:rPr>
                <w:rFonts w:ascii="Arial" w:hAnsi="Arial"/>
                <w:sz w:val="22"/>
              </w:rPr>
              <w:t>LinUCB</w:t>
            </w:r>
          </w:p>
        </w:tc>
        <w:tc>
          <w:tcPr>
            <w:tcW w:type="dxa" w:w="1949"/>
          </w:tcPr>
          <w:p>
            <w:pPr>
              <w:spacing w:after="60" w:before="0" w:line="240" w:lineRule="auto"/>
            </w:pPr>
            <w:r>
              <w:rPr>
                <w:rFonts w:ascii="Arial" w:hAnsi="Arial"/>
                <w:sz w:val="22"/>
              </w:rPr>
              <w:t>1</w:t>
            </w:r>
          </w:p>
        </w:tc>
        <w:tc>
          <w:tcPr>
            <w:tcW w:type="dxa" w:w="1949"/>
          </w:tcPr>
          <w:p>
            <w:pPr>
              <w:spacing w:after="60" w:before="0" w:line="240" w:lineRule="auto"/>
            </w:pPr>
            <w:r>
              <w:rPr>
                <w:rFonts w:ascii="Arial" w:hAnsi="Arial"/>
                <w:sz w:val="22"/>
              </w:rPr>
              <w:t>27.127</w:t>
            </w:r>
          </w:p>
        </w:tc>
        <w:tc>
          <w:tcPr>
            <w:tcW w:type="dxa" w:w="1949"/>
          </w:tcPr>
          <w:p>
            <w:pPr>
              <w:spacing w:after="60" w:before="0" w:line="240" w:lineRule="auto"/>
            </w:pPr>
            <w:r>
              <w:rPr>
                <w:rFonts w:ascii="Arial" w:hAnsi="Arial"/>
                <w:sz w:val="22"/>
              </w:rPr>
              <w:t>16.82</w:t>
            </w:r>
          </w:p>
        </w:tc>
        <w:tc>
          <w:tcPr>
            <w:tcW w:type="dxa" w:w="1949"/>
          </w:tcPr>
          <w:p>
            <w:pPr>
              <w:spacing w:after="60" w:before="0" w:line="240" w:lineRule="auto"/>
            </w:pPr>
            <w:r>
              <w:rPr>
                <w:rFonts w:ascii="Arial" w:hAnsi="Arial"/>
                <w:sz w:val="22"/>
              </w:rPr>
              <w:t>0.000</w:t>
            </w:r>
          </w:p>
        </w:tc>
      </w:tr>
      <w:tr>
        <w:trPr>
          <w:cantSplit/>
        </w:trPr>
        <w:tc>
          <w:tcPr>
            <w:tcW w:type="dxa" w:w="1949"/>
          </w:tcPr>
          <w:p>
            <w:pPr>
              <w:spacing w:after="60" w:before="0" w:line="240" w:lineRule="auto"/>
            </w:pPr>
            <w:r>
              <w:rPr>
                <w:rFonts w:ascii="Arial" w:hAnsi="Arial"/>
                <w:sz w:val="22"/>
              </w:rPr>
              <w:t>LinUCB</w:t>
            </w:r>
          </w:p>
        </w:tc>
        <w:tc>
          <w:tcPr>
            <w:tcW w:type="dxa" w:w="1949"/>
          </w:tcPr>
          <w:p>
            <w:pPr>
              <w:spacing w:after="60" w:before="0" w:line="240" w:lineRule="auto"/>
            </w:pPr>
            <w:r>
              <w:rPr>
                <w:rFonts w:ascii="Arial" w:hAnsi="Arial"/>
                <w:sz w:val="22"/>
              </w:rPr>
              <w:t>3</w:t>
            </w:r>
          </w:p>
        </w:tc>
        <w:tc>
          <w:tcPr>
            <w:tcW w:type="dxa" w:w="1949"/>
          </w:tcPr>
          <w:p>
            <w:pPr>
              <w:spacing w:after="60" w:before="0" w:line="240" w:lineRule="auto"/>
            </w:pPr>
            <w:r>
              <w:rPr>
                <w:rFonts w:ascii="Arial" w:hAnsi="Arial"/>
                <w:sz w:val="22"/>
              </w:rPr>
              <w:t>30.885</w:t>
            </w:r>
          </w:p>
        </w:tc>
        <w:tc>
          <w:tcPr>
            <w:tcW w:type="dxa" w:w="1949"/>
          </w:tcPr>
          <w:p>
            <w:pPr>
              <w:spacing w:after="60" w:before="0" w:line="240" w:lineRule="auto"/>
            </w:pPr>
            <w:r>
              <w:rPr>
                <w:rFonts w:ascii="Arial" w:hAnsi="Arial"/>
                <w:sz w:val="22"/>
              </w:rPr>
              <w:t>18.16</w:t>
            </w:r>
          </w:p>
        </w:tc>
        <w:tc>
          <w:tcPr>
            <w:tcW w:type="dxa" w:w="1949"/>
          </w:tcPr>
          <w:p>
            <w:pPr>
              <w:spacing w:after="60" w:before="0" w:line="240" w:lineRule="auto"/>
            </w:pPr>
            <w:r>
              <w:rPr>
                <w:rFonts w:ascii="Arial" w:hAnsi="Arial"/>
                <w:sz w:val="22"/>
              </w:rPr>
              <w:t>0.665</w:t>
            </w:r>
          </w:p>
        </w:tc>
      </w:tr>
      <w:tr>
        <w:trPr>
          <w:cantSplit/>
        </w:trPr>
        <w:tc>
          <w:tcPr>
            <w:tcW w:type="dxa" w:w="1949"/>
          </w:tcPr>
          <w:p>
            <w:pPr>
              <w:spacing w:after="60" w:before="0" w:line="240" w:lineRule="auto"/>
            </w:pPr>
            <w:r>
              <w:rPr>
                <w:rFonts w:ascii="Arial" w:hAnsi="Arial"/>
                <w:sz w:val="22"/>
              </w:rPr>
              <w:t>Random</w:t>
            </w:r>
          </w:p>
        </w:tc>
        <w:tc>
          <w:tcPr>
            <w:tcW w:type="dxa" w:w="1949"/>
          </w:tcPr>
          <w:p>
            <w:pPr>
              <w:spacing w:after="60" w:before="0" w:line="240" w:lineRule="auto"/>
            </w:pPr>
            <w:r>
              <w:rPr>
                <w:rFonts w:ascii="Arial" w:hAnsi="Arial"/>
                <w:sz w:val="22"/>
              </w:rPr>
              <w:t>1</w:t>
            </w:r>
          </w:p>
        </w:tc>
        <w:tc>
          <w:tcPr>
            <w:tcW w:type="dxa" w:w="1949"/>
          </w:tcPr>
          <w:p>
            <w:pPr>
              <w:spacing w:after="60" w:before="0" w:line="240" w:lineRule="auto"/>
            </w:pPr>
            <w:r>
              <w:rPr>
                <w:rFonts w:ascii="Arial" w:hAnsi="Arial"/>
                <w:sz w:val="22"/>
              </w:rPr>
              <w:t>31.890</w:t>
            </w:r>
          </w:p>
        </w:tc>
        <w:tc>
          <w:tcPr>
            <w:tcW w:type="dxa" w:w="1949"/>
          </w:tcPr>
          <w:p>
            <w:pPr>
              <w:spacing w:after="60" w:before="0" w:line="240" w:lineRule="auto"/>
            </w:pPr>
            <w:r>
              <w:rPr>
                <w:rFonts w:ascii="Arial" w:hAnsi="Arial"/>
                <w:sz w:val="22"/>
              </w:rPr>
              <w:t>37.33</w:t>
            </w:r>
          </w:p>
        </w:tc>
        <w:tc>
          <w:tcPr>
            <w:tcW w:type="dxa" w:w="1949"/>
          </w:tcPr>
          <w:p>
            <w:pPr>
              <w:spacing w:after="60" w:before="0" w:line="240" w:lineRule="auto"/>
            </w:pPr>
            <w:r>
              <w:rPr>
                <w:rFonts w:ascii="Arial" w:hAnsi="Arial"/>
                <w:sz w:val="22"/>
              </w:rPr>
              <w:t>0.000</w:t>
            </w:r>
          </w:p>
        </w:tc>
      </w:tr>
      <w:tr>
        <w:trPr>
          <w:cantSplit/>
        </w:trPr>
        <w:tc>
          <w:tcPr>
            <w:tcW w:type="dxa" w:w="1949"/>
          </w:tcPr>
          <w:p>
            <w:pPr>
              <w:spacing w:after="60" w:before="0" w:line="240" w:lineRule="auto"/>
            </w:pPr>
            <w:r>
              <w:rPr>
                <w:rFonts w:ascii="Arial" w:hAnsi="Arial"/>
                <w:sz w:val="22"/>
              </w:rPr>
              <w:t>Random</w:t>
            </w:r>
          </w:p>
        </w:tc>
        <w:tc>
          <w:tcPr>
            <w:tcW w:type="dxa" w:w="1949"/>
          </w:tcPr>
          <w:p>
            <w:pPr>
              <w:spacing w:after="60" w:before="0" w:line="240" w:lineRule="auto"/>
            </w:pPr>
            <w:r>
              <w:rPr>
                <w:rFonts w:ascii="Arial" w:hAnsi="Arial"/>
                <w:sz w:val="22"/>
              </w:rPr>
              <w:t>3</w:t>
            </w:r>
          </w:p>
        </w:tc>
        <w:tc>
          <w:tcPr>
            <w:tcW w:type="dxa" w:w="1949"/>
          </w:tcPr>
          <w:p>
            <w:pPr>
              <w:spacing w:after="60" w:before="0" w:line="240" w:lineRule="auto"/>
            </w:pPr>
            <w:r>
              <w:rPr>
                <w:rFonts w:ascii="Arial" w:hAnsi="Arial"/>
                <w:sz w:val="22"/>
              </w:rPr>
              <w:t>37.533</w:t>
            </w:r>
          </w:p>
        </w:tc>
        <w:tc>
          <w:tcPr>
            <w:tcW w:type="dxa" w:w="1949"/>
          </w:tcPr>
          <w:p>
            <w:pPr>
              <w:spacing w:after="60" w:before="0" w:line="240" w:lineRule="auto"/>
            </w:pPr>
            <w:r>
              <w:rPr>
                <w:rFonts w:ascii="Arial" w:hAnsi="Arial"/>
                <w:sz w:val="22"/>
              </w:rPr>
              <w:t>37.39</w:t>
            </w:r>
          </w:p>
        </w:tc>
        <w:tc>
          <w:tcPr>
            <w:tcW w:type="dxa" w:w="1949"/>
          </w:tcPr>
          <w:p>
            <w:pPr>
              <w:spacing w:after="60" w:before="0" w:line="240" w:lineRule="auto"/>
            </w:pPr>
            <w:r>
              <w:rPr>
                <w:rFonts w:ascii="Arial" w:hAnsi="Arial"/>
                <w:sz w:val="22"/>
              </w:rPr>
              <w:t>0.665</w:t>
            </w:r>
          </w:p>
        </w:tc>
      </w:tr>
    </w:tbl>
    <w:p>
      <w:r>
        <w:rPr>
          <w:rFonts w:ascii="Arial" w:hAnsi="Arial"/>
          <w:sz w:val="22"/>
        </w:rPr>
        <w:t>Table 2. Coverage counts selected IDs even if the user subsequently declines. Top-3 lets the simulator choose a non-first item in roughly two-thirds of interactions. Reward rises for every diagnostic policy. Therefore previous list-based reward is partly a property of the choice interface, and cannot establish superiority for a single delivered task.</w:t>
      </w:r>
    </w:p>
    <w:p>
      <w:r>
        <w:rPr>
          <w:rFonts w:ascii="Arial" w:hAnsi="Arial"/>
          <w:sz w:val="22"/>
        </w:rPr>
        <w:t>Random covers approximately 37 items per user versus 18 for SAPS, and its reward advantage persists under both settings. This is consistent with broader exploration mattering in a simulator that includes novelty, but does not establish coverage as the cause: difficulty, category, utility assumptions and different sampled histories are confounded. Task/category/difficulty counts are recorded for inspection; no diversity intervention or causal coverage claim is made.</w:t>
      </w:r>
    </w:p>
    <w:p>
      <w:r>
        <w:rPr>
          <w:rFonts w:ascii="Arial" w:hAnsi="Arial"/>
          <w:sz w:val="22"/>
        </w:rPr>
        <w:t>Top-1 remains the final primary setting because it represents the live system, not because it makes SAPS win. Top-3 stays a labelled diagnostic. A future experiment could randomize diversity while holding utility and safety protocols constant, then test on an independently specified simulator or approved real feedback.</w:t>
      </w:r>
    </w:p>
    <w:p>
      <w:pPr>
        <w:pStyle w:val="Heading2"/>
      </w:pPr>
      <w:r>
        <w:rPr>
          <w:rFonts w:ascii="Arial" w:hAnsi="Arial"/>
          <w:sz w:val="22"/>
        </w:rPr>
        <w:t>6.5 Fixed safety-bonus ablation</w:t>
      </w:r>
    </w:p>
    <w:p>
      <w:r>
        <w:rPr>
          <w:rFonts w:ascii="Arial" w:hAnsi="Arial"/>
          <w:sz w:val="22"/>
        </w:rPr>
        <w:t>With top-1 and final seeds, SAPS τ=2 is compared with τ=0; all other components stay the same. τ=0 matches the LinUCB reference in these runs. This fixed on/off test is not a hyperparameter grid and no favorable tau is selected afterward.</w:t>
      </w:r>
    </w:p>
    <w:tbl>
      <w:tblPr>
        <w:tblStyle w:val="LightShading-Accent1"/>
        <w:tblW w:type="auto" w:w="0"/>
        <w:tblLook w:firstColumn="1" w:firstRow="1" w:lastColumn="0" w:lastRow="0" w:noHBand="0" w:noVBand="1" w:val="04A0"/>
      </w:tblPr>
      <w:tblGrid>
        <w:gridCol w:w="2436"/>
        <w:gridCol w:w="2436"/>
        <w:gridCol w:w="2436"/>
        <w:gridCol w:w="2436"/>
      </w:tblGrid>
      <w:tr>
        <w:trPr>
          <w:cantSplit/>
        </w:trPr>
        <w:tc>
          <w:tcPr>
            <w:tcW w:type="dxa" w:w="2436"/>
          </w:tcPr>
          <w:p>
            <w:pPr>
              <w:spacing w:after="60" w:before="0" w:line="240" w:lineRule="auto"/>
            </w:pPr>
            <w:r>
              <w:rPr>
                <w:rFonts w:ascii="Arial" w:hAnsi="Arial"/>
                <w:sz w:val="22"/>
              </w:rPr>
              <w:t>Outcome</w:t>
            </w:r>
          </w:p>
        </w:tc>
        <w:tc>
          <w:tcPr>
            <w:tcW w:type="dxa" w:w="2436"/>
          </w:tcPr>
          <w:p>
            <w:pPr>
              <w:spacing w:after="60" w:before="0" w:line="240" w:lineRule="auto"/>
            </w:pPr>
            <w:r>
              <w:rPr>
                <w:rFonts w:ascii="Arial" w:hAnsi="Arial"/>
                <w:sz w:val="22"/>
              </w:rPr>
              <w:t>τ=2</w:t>
            </w:r>
          </w:p>
        </w:tc>
        <w:tc>
          <w:tcPr>
            <w:tcW w:type="dxa" w:w="2436"/>
          </w:tcPr>
          <w:p>
            <w:pPr>
              <w:spacing w:after="60" w:before="0" w:line="240" w:lineRule="auto"/>
            </w:pPr>
            <w:r>
              <w:rPr>
                <w:rFonts w:ascii="Arial" w:hAnsi="Arial"/>
                <w:sz w:val="22"/>
              </w:rPr>
              <w:t>τ=0</w:t>
            </w:r>
          </w:p>
        </w:tc>
        <w:tc>
          <w:tcPr>
            <w:tcW w:type="dxa" w:w="2436"/>
          </w:tcPr>
          <w:p>
            <w:pPr>
              <w:spacing w:after="60" w:before="0" w:line="240" w:lineRule="auto"/>
            </w:pPr>
            <w:r>
              <w:rPr>
                <w:rFonts w:ascii="Arial" w:hAnsi="Arial"/>
                <w:sz w:val="22"/>
              </w:rPr>
              <w:t>Adjusted p</w:t>
            </w:r>
          </w:p>
        </w:tc>
      </w:tr>
      <w:tr>
        <w:trPr>
          <w:cantSplit/>
        </w:trPr>
        <w:tc>
          <w:tcPr>
            <w:tcW w:type="dxa" w:w="2436"/>
          </w:tcPr>
          <w:p>
            <w:pPr>
              <w:spacing w:after="60" w:before="0" w:line="240" w:lineRule="auto"/>
            </w:pPr>
            <w:r>
              <w:rPr>
                <w:rFonts w:ascii="Arial" w:hAnsi="Arial"/>
                <w:sz w:val="22"/>
              </w:rPr>
              <w:t>Reward</w:t>
            </w:r>
          </w:p>
        </w:tc>
        <w:tc>
          <w:tcPr>
            <w:tcW w:type="dxa" w:w="2436"/>
          </w:tcPr>
          <w:p>
            <w:pPr>
              <w:spacing w:after="60" w:before="0" w:line="240" w:lineRule="auto"/>
            </w:pPr>
            <w:r>
              <w:rPr>
                <w:rFonts w:ascii="Arial" w:hAnsi="Arial"/>
                <w:sz w:val="22"/>
              </w:rPr>
              <w:t>27.6085</w:t>
            </w:r>
          </w:p>
        </w:tc>
        <w:tc>
          <w:tcPr>
            <w:tcW w:type="dxa" w:w="2436"/>
          </w:tcPr>
          <w:p>
            <w:pPr>
              <w:spacing w:after="60" w:before="0" w:line="240" w:lineRule="auto"/>
            </w:pPr>
            <w:r>
              <w:rPr>
                <w:rFonts w:ascii="Arial" w:hAnsi="Arial"/>
                <w:sz w:val="22"/>
              </w:rPr>
              <w:t>27.3975</w:t>
            </w:r>
          </w:p>
        </w:tc>
        <w:tc>
          <w:tcPr>
            <w:tcW w:type="dxa" w:w="2436"/>
          </w:tcPr>
          <w:p>
            <w:pPr>
              <w:spacing w:after="60" w:before="0" w:line="240" w:lineRule="auto"/>
            </w:pPr>
            <w:r>
              <w:rPr>
                <w:rFonts w:ascii="Arial" w:hAnsi="Arial"/>
                <w:sz w:val="22"/>
              </w:rPr>
              <w:t>0.8774</w:t>
            </w:r>
          </w:p>
        </w:tc>
      </w:tr>
      <w:tr>
        <w:trPr>
          <w:cantSplit/>
        </w:trPr>
        <w:tc>
          <w:tcPr>
            <w:tcW w:type="dxa" w:w="2436"/>
          </w:tcPr>
          <w:p>
            <w:pPr>
              <w:spacing w:after="60" w:before="0" w:line="240" w:lineRule="auto"/>
            </w:pPr>
            <w:r>
              <w:rPr>
                <w:rFonts w:ascii="Arial" w:hAnsi="Arial"/>
                <w:sz w:val="22"/>
              </w:rPr>
              <w:t>IER</w:t>
            </w:r>
          </w:p>
        </w:tc>
        <w:tc>
          <w:tcPr>
            <w:tcW w:type="dxa" w:w="2436"/>
          </w:tcPr>
          <w:p>
            <w:pPr>
              <w:spacing w:after="60" w:before="0" w:line="240" w:lineRule="auto"/>
            </w:pPr>
            <w:r>
              <w:rPr>
                <w:rFonts w:ascii="Arial" w:hAnsi="Arial"/>
                <w:sz w:val="22"/>
              </w:rPr>
              <w:t>0.01535</w:t>
            </w:r>
          </w:p>
        </w:tc>
        <w:tc>
          <w:tcPr>
            <w:tcW w:type="dxa" w:w="2436"/>
          </w:tcPr>
          <w:p>
            <w:pPr>
              <w:spacing w:after="60" w:before="0" w:line="240" w:lineRule="auto"/>
            </w:pPr>
            <w:r>
              <w:rPr>
                <w:rFonts w:ascii="Arial" w:hAnsi="Arial"/>
                <w:sz w:val="22"/>
              </w:rPr>
              <w:t>0.01528</w:t>
            </w:r>
          </w:p>
        </w:tc>
        <w:tc>
          <w:tcPr>
            <w:tcW w:type="dxa" w:w="2436"/>
          </w:tcPr>
          <w:p>
            <w:pPr>
              <w:spacing w:after="60" w:before="0" w:line="240" w:lineRule="auto"/>
            </w:pPr>
            <w:r>
              <w:rPr>
                <w:rFonts w:ascii="Arial" w:hAnsi="Arial"/>
                <w:sz w:val="22"/>
              </w:rPr>
              <w:t>1.0000</w:t>
            </w:r>
          </w:p>
        </w:tc>
      </w:tr>
      <w:tr>
        <w:trPr>
          <w:cantSplit/>
        </w:trPr>
        <w:tc>
          <w:tcPr>
            <w:tcW w:type="dxa" w:w="2436"/>
          </w:tcPr>
          <w:p>
            <w:pPr>
              <w:spacing w:after="60" w:before="0" w:line="240" w:lineRule="auto"/>
            </w:pPr>
            <w:r>
              <w:rPr>
                <w:rFonts w:ascii="Arial" w:hAnsi="Arial"/>
                <w:sz w:val="22"/>
              </w:rPr>
              <w:t>Acceptance</w:t>
            </w:r>
          </w:p>
        </w:tc>
        <w:tc>
          <w:tcPr>
            <w:tcW w:type="dxa" w:w="2436"/>
          </w:tcPr>
          <w:p>
            <w:pPr>
              <w:spacing w:after="60" w:before="0" w:line="240" w:lineRule="auto"/>
            </w:pPr>
            <w:r>
              <w:rPr>
                <w:rFonts w:ascii="Arial" w:hAnsi="Arial"/>
                <w:sz w:val="22"/>
              </w:rPr>
              <w:t>0.5492</w:t>
            </w:r>
          </w:p>
        </w:tc>
        <w:tc>
          <w:tcPr>
            <w:tcW w:type="dxa" w:w="2436"/>
          </w:tcPr>
          <w:p>
            <w:pPr>
              <w:spacing w:after="60" w:before="0" w:line="240" w:lineRule="auto"/>
            </w:pPr>
            <w:r>
              <w:rPr>
                <w:rFonts w:ascii="Arial" w:hAnsi="Arial"/>
                <w:sz w:val="22"/>
              </w:rPr>
              <w:t>0.5455</w:t>
            </w:r>
          </w:p>
        </w:tc>
        <w:tc>
          <w:tcPr>
            <w:tcW w:type="dxa" w:w="2436"/>
          </w:tcPr>
          <w:p>
            <w:pPr>
              <w:spacing w:after="60" w:before="0" w:line="240" w:lineRule="auto"/>
            </w:pPr>
            <w:r>
              <w:rPr>
                <w:rFonts w:ascii="Arial" w:hAnsi="Arial"/>
                <w:sz w:val="22"/>
              </w:rPr>
              <w:t>0.9341</w:t>
            </w:r>
          </w:p>
        </w:tc>
      </w:tr>
    </w:tbl>
    <w:p>
      <w:r>
        <w:rPr>
          <w:rFonts w:ascii="Arial" w:hAnsi="Arial"/>
          <w:sz w:val="22"/>
        </w:rPr>
        <w:t>Table 3. None of the three tests establishes benefit. IER difference is +0.000067, 95% CI [−0.000339, 0.000473]. A low absolute IER should therefore not be attributed to the bonus: hard candidate restriction, infeasible-arm penalties and the environment can also shape rankings. The contribution supported here is the testable separation of mechanisms, not a proven novel safety advantage.</w:t>
      </w:r>
    </w:p>
    <w:p>
      <w:r>
        <w:rPr>
          <w:rFonts w:ascii="Arial" w:hAnsi="Arial"/>
          <w:sz w:val="22"/>
        </w:rPr>
        <w:br w:type="page"/>
      </w:r>
    </w:p>
    <w:p>
      <w:pPr>
        <w:pStyle w:val="Heading1"/>
      </w:pPr>
      <w:r>
        <w:rPr>
          <w:rFonts w:ascii="Arial" w:hAnsi="Arial"/>
          <w:sz w:val="22"/>
        </w:rPr>
        <w:t>6.6 Runtime safety, transfer and narrative checks</w:t>
      </w:r>
    </w:p>
    <w:p>
      <w:pPr>
        <w:pStyle w:val="Heading2"/>
      </w:pPr>
      <w:r>
        <w:rPr>
          <w:rFonts w:ascii="Arial" w:hAnsi="Arial"/>
          <w:sz w:val="22"/>
        </w:rPr>
        <w:t>Runtime safety ablation</w:t>
      </w:r>
    </w:p>
    <w:p>
      <w:r>
        <w:rPr>
          <w:rFonts w:ascii="Arial" w:hAnsi="Arial"/>
          <w:sz w:val="22"/>
        </w:rPr>
        <w:t>LinUCB with and without runtime safety is rerun over the same ten final seeds. The emotional difficulty cap remains in both arms, so this removes runtime checks rather than all safety-related behavior. Accepted tasks are audited against all five pre-filter predicates, including when filtering is disabled.</w:t>
      </w:r>
    </w:p>
    <w:tbl>
      <w:tblPr>
        <w:tblStyle w:val="LightShading-Accent1"/>
        <w:tblW w:type="auto" w:w="0"/>
        <w:tblLook w:firstColumn="1" w:firstRow="1" w:lastColumn="0" w:lastRow="0" w:noHBand="0" w:noVBand="1" w:val="04A0"/>
      </w:tblPr>
      <w:tblGrid>
        <w:gridCol w:w="2436"/>
        <w:gridCol w:w="2436"/>
        <w:gridCol w:w="2436"/>
        <w:gridCol w:w="2436"/>
      </w:tblGrid>
      <w:tr>
        <w:trPr>
          <w:cantSplit/>
        </w:trPr>
        <w:tc>
          <w:tcPr>
            <w:tcW w:type="dxa" w:w="2436"/>
          </w:tcPr>
          <w:p>
            <w:pPr>
              <w:spacing w:after="60" w:before="0" w:line="240" w:lineRule="auto"/>
            </w:pPr>
            <w:r>
              <w:rPr>
                <w:rFonts w:ascii="Arial" w:hAnsi="Arial"/>
                <w:sz w:val="22"/>
              </w:rPr>
              <w:t>Setting</w:t>
            </w:r>
          </w:p>
        </w:tc>
        <w:tc>
          <w:tcPr>
            <w:tcW w:type="dxa" w:w="2436"/>
          </w:tcPr>
          <w:p>
            <w:pPr>
              <w:spacing w:after="60" w:before="0" w:line="240" w:lineRule="auto"/>
            </w:pPr>
            <w:r>
              <w:rPr>
                <w:rFonts w:ascii="Arial" w:hAnsi="Arial"/>
                <w:sz w:val="22"/>
              </w:rPr>
              <w:t>Reward</w:t>
            </w:r>
          </w:p>
        </w:tc>
        <w:tc>
          <w:tcPr>
            <w:tcW w:type="dxa" w:w="2436"/>
          </w:tcPr>
          <w:p>
            <w:pPr>
              <w:spacing w:after="60" w:before="0" w:line="240" w:lineRule="auto"/>
            </w:pPr>
            <w:r>
              <w:rPr>
                <w:rFonts w:ascii="Arial" w:hAnsi="Arial"/>
                <w:sz w:val="22"/>
              </w:rPr>
              <w:t>Macro SVR</w:t>
            </w:r>
          </w:p>
        </w:tc>
        <w:tc>
          <w:tcPr>
            <w:tcW w:type="dxa" w:w="2436"/>
          </w:tcPr>
          <w:p>
            <w:pPr>
              <w:spacing w:after="60" w:before="0" w:line="240" w:lineRule="auto"/>
            </w:pPr>
            <w:r>
              <w:rPr>
                <w:rFonts w:ascii="Arial" w:hAnsi="Arial"/>
                <w:sz w:val="22"/>
              </w:rPr>
              <w:t>Violations / attempts</w:t>
            </w:r>
          </w:p>
        </w:tc>
      </w:tr>
      <w:tr>
        <w:trPr>
          <w:cantSplit/>
        </w:trPr>
        <w:tc>
          <w:tcPr>
            <w:tcW w:type="dxa" w:w="2436"/>
          </w:tcPr>
          <w:p>
            <w:pPr>
              <w:spacing w:after="60" w:before="0" w:line="240" w:lineRule="auto"/>
            </w:pPr>
            <w:r>
              <w:rPr>
                <w:rFonts w:ascii="Arial" w:hAnsi="Arial"/>
                <w:sz w:val="22"/>
              </w:rPr>
              <w:t>With runtime safety</w:t>
            </w:r>
          </w:p>
        </w:tc>
        <w:tc>
          <w:tcPr>
            <w:tcW w:type="dxa" w:w="2436"/>
          </w:tcPr>
          <w:p>
            <w:pPr>
              <w:spacing w:after="60" w:before="0" w:line="240" w:lineRule="auto"/>
            </w:pPr>
            <w:r>
              <w:rPr>
                <w:rFonts w:ascii="Arial" w:hAnsi="Arial"/>
                <w:sz w:val="22"/>
              </w:rPr>
              <w:t>27.3975</w:t>
            </w:r>
          </w:p>
        </w:tc>
        <w:tc>
          <w:tcPr>
            <w:tcW w:type="dxa" w:w="2436"/>
          </w:tcPr>
          <w:p>
            <w:pPr>
              <w:spacing w:after="60" w:before="0" w:line="240" w:lineRule="auto"/>
            </w:pPr>
            <w:r>
              <w:rPr>
                <w:rFonts w:ascii="Arial" w:hAnsi="Arial"/>
                <w:sz w:val="22"/>
              </w:rPr>
              <w:t>0.0000</w:t>
            </w:r>
          </w:p>
        </w:tc>
        <w:tc>
          <w:tcPr>
            <w:tcW w:type="dxa" w:w="2436"/>
          </w:tcPr>
          <w:p>
            <w:pPr>
              <w:spacing w:after="60" w:before="0" w:line="240" w:lineRule="auto"/>
            </w:pPr>
            <w:r>
              <w:rPr>
                <w:rFonts w:ascii="Arial" w:hAnsi="Arial"/>
                <w:sz w:val="22"/>
              </w:rPr>
              <w:t>0 / 6546</w:t>
            </w:r>
          </w:p>
        </w:tc>
      </w:tr>
      <w:tr>
        <w:trPr>
          <w:cantSplit/>
        </w:trPr>
        <w:tc>
          <w:tcPr>
            <w:tcW w:type="dxa" w:w="2436"/>
          </w:tcPr>
          <w:p>
            <w:pPr>
              <w:spacing w:after="60" w:before="0" w:line="240" w:lineRule="auto"/>
            </w:pPr>
            <w:r>
              <w:rPr>
                <w:rFonts w:ascii="Arial" w:hAnsi="Arial"/>
                <w:sz w:val="22"/>
              </w:rPr>
              <w:t>Without runtime safety</w:t>
            </w:r>
          </w:p>
        </w:tc>
        <w:tc>
          <w:tcPr>
            <w:tcW w:type="dxa" w:w="2436"/>
          </w:tcPr>
          <w:p>
            <w:pPr>
              <w:spacing w:after="60" w:before="0" w:line="240" w:lineRule="auto"/>
            </w:pPr>
            <w:r>
              <w:rPr>
                <w:rFonts w:ascii="Arial" w:hAnsi="Arial"/>
                <w:sz w:val="22"/>
              </w:rPr>
              <w:t>28.6097</w:t>
            </w:r>
          </w:p>
        </w:tc>
        <w:tc>
          <w:tcPr>
            <w:tcW w:type="dxa" w:w="2436"/>
          </w:tcPr>
          <w:p>
            <w:pPr>
              <w:spacing w:after="60" w:before="0" w:line="240" w:lineRule="auto"/>
            </w:pPr>
            <w:r>
              <w:rPr>
                <w:rFonts w:ascii="Arial" w:hAnsi="Arial"/>
                <w:sz w:val="22"/>
              </w:rPr>
              <w:t>0.1556</w:t>
            </w:r>
          </w:p>
        </w:tc>
        <w:tc>
          <w:tcPr>
            <w:tcW w:type="dxa" w:w="2436"/>
          </w:tcPr>
          <w:p>
            <w:pPr>
              <w:spacing w:after="60" w:before="0" w:line="240" w:lineRule="auto"/>
            </w:pPr>
            <w:r>
              <w:rPr>
                <w:rFonts w:ascii="Arial" w:hAnsi="Arial"/>
                <w:sz w:val="22"/>
              </w:rPr>
              <w:t>1090 / 6834</w:t>
            </w:r>
          </w:p>
        </w:tc>
      </w:tr>
    </w:tbl>
    <w:p>
      <w:r>
        <w:rPr>
          <w:rFonts w:ascii="Arial" w:hAnsi="Arial"/>
          <w:sz w:val="22"/>
        </w:rPr>
        <w:t>Table 4. The pooled unfiltered violation rate is 0.1595; macro averaging gives 0.1556 because users have different numbers of attempts. This demonstrates enforcement of authored constraints and its utility tradeoff, not reduction of clinically observed harm. NoSafety changes the feasible-set definition, so its IER is not compared as though it were the same five-rule outcome.</w:t>
      </w:r>
    </w:p>
    <w:p>
      <w:pPr>
        <w:pStyle w:val="Heading2"/>
      </w:pPr>
      <w:r>
        <w:rPr>
          <w:rFonts w:ascii="Arial" w:hAnsi="Arial"/>
          <w:sz w:val="22"/>
        </w:rPr>
        <w:t>Exploratory condition-transfer probe</w:t>
      </w:r>
    </w:p>
    <w:p>
      <w:r>
        <w:rPr>
          <w:rFonts w:ascii="Arial" w:hAnsi="Arial"/>
          <w:sz w:val="22"/>
        </w:rPr>
        <w:t>A separate seed-42 probe trains on 15 ACL/RC personas and rolls out on five unseen BP personas. Reward estimates are frozen during transfer; SAPS Beta counts still adapt. The comparison is fresh online learning on BP, not fully frozen transfer or an independently validated clinical cohort.</w:t>
      </w:r>
    </w:p>
    <w:tbl>
      <w:tblPr>
        <w:tblStyle w:val="LightShading-Accent1"/>
        <w:tblW w:type="auto" w:w="0"/>
        <w:tblLook w:firstColumn="1" w:firstRow="1" w:lastColumn="0" w:lastRow="0" w:noHBand="0" w:noVBand="1" w:val="04A0"/>
      </w:tblPr>
      <w:tblGrid>
        <w:gridCol w:w="2436"/>
        <w:gridCol w:w="2436"/>
        <w:gridCol w:w="2436"/>
        <w:gridCol w:w="2436"/>
      </w:tblGrid>
      <w:tr>
        <w:trPr>
          <w:cantSplit/>
        </w:trPr>
        <w:tc>
          <w:tcPr>
            <w:tcW w:type="dxa" w:w="2436"/>
          </w:tcPr>
          <w:p>
            <w:pPr>
              <w:spacing w:after="60" w:before="0" w:line="240" w:lineRule="auto"/>
            </w:pPr>
            <w:r>
              <w:rPr>
                <w:rFonts w:ascii="Arial" w:hAnsi="Arial"/>
                <w:sz w:val="22"/>
              </w:rPr>
              <w:t>Policy</w:t>
            </w:r>
          </w:p>
        </w:tc>
        <w:tc>
          <w:tcPr>
            <w:tcW w:type="dxa" w:w="2436"/>
          </w:tcPr>
          <w:p>
            <w:pPr>
              <w:spacing w:after="60" w:before="0" w:line="240" w:lineRule="auto"/>
            </w:pPr>
            <w:r>
              <w:rPr>
                <w:rFonts w:ascii="Arial" w:hAnsi="Arial"/>
                <w:sz w:val="22"/>
              </w:rPr>
              <w:t>Train</w:t>
            </w:r>
          </w:p>
        </w:tc>
        <w:tc>
          <w:tcPr>
            <w:tcW w:type="dxa" w:w="2436"/>
          </w:tcPr>
          <w:p>
            <w:pPr>
              <w:spacing w:after="60" w:before="0" w:line="240" w:lineRule="auto"/>
            </w:pPr>
            <w:r>
              <w:rPr>
                <w:rFonts w:ascii="Arial" w:hAnsi="Arial"/>
                <w:sz w:val="22"/>
              </w:rPr>
              <w:t>Reward-frozen</w:t>
            </w:r>
          </w:p>
        </w:tc>
        <w:tc>
          <w:tcPr>
            <w:tcW w:type="dxa" w:w="2436"/>
          </w:tcPr>
          <w:p>
            <w:pPr>
              <w:spacing w:after="60" w:before="0" w:line="240" w:lineRule="auto"/>
            </w:pPr>
            <w:r>
              <w:rPr>
                <w:rFonts w:ascii="Arial" w:hAnsi="Arial"/>
                <w:sz w:val="22"/>
              </w:rPr>
              <w:t>Fresh online</w:t>
            </w:r>
          </w:p>
        </w:tc>
      </w:tr>
      <w:tr>
        <w:trPr>
          <w:cantSplit/>
        </w:trPr>
        <w:tc>
          <w:tcPr>
            <w:tcW w:type="dxa" w:w="2436"/>
          </w:tcPr>
          <w:p>
            <w:pPr>
              <w:spacing w:after="60" w:before="0" w:line="240" w:lineRule="auto"/>
            </w:pPr>
            <w:r>
              <w:rPr>
                <w:rFonts w:ascii="Arial" w:hAnsi="Arial"/>
                <w:sz w:val="22"/>
              </w:rPr>
              <w:t>SAPS</w:t>
            </w:r>
          </w:p>
        </w:tc>
        <w:tc>
          <w:tcPr>
            <w:tcW w:type="dxa" w:w="2436"/>
          </w:tcPr>
          <w:p>
            <w:pPr>
              <w:spacing w:after="60" w:before="0" w:line="240" w:lineRule="auto"/>
            </w:pPr>
            <w:r>
              <w:rPr>
                <w:rFonts w:ascii="Arial" w:hAnsi="Arial"/>
                <w:sz w:val="22"/>
              </w:rPr>
              <w:t>27.09</w:t>
            </w:r>
          </w:p>
        </w:tc>
        <w:tc>
          <w:tcPr>
            <w:tcW w:type="dxa" w:w="2436"/>
          </w:tcPr>
          <w:p>
            <w:pPr>
              <w:spacing w:after="60" w:before="0" w:line="240" w:lineRule="auto"/>
            </w:pPr>
            <w:r>
              <w:rPr>
                <w:rFonts w:ascii="Arial" w:hAnsi="Arial"/>
                <w:sz w:val="22"/>
              </w:rPr>
              <w:t>25.88</w:t>
            </w:r>
          </w:p>
        </w:tc>
        <w:tc>
          <w:tcPr>
            <w:tcW w:type="dxa" w:w="2436"/>
          </w:tcPr>
          <w:p>
            <w:pPr>
              <w:spacing w:after="60" w:before="0" w:line="240" w:lineRule="auto"/>
            </w:pPr>
            <w:r>
              <w:rPr>
                <w:rFonts w:ascii="Arial" w:hAnsi="Arial"/>
                <w:sz w:val="22"/>
              </w:rPr>
              <w:t>29.41</w:t>
            </w:r>
          </w:p>
        </w:tc>
      </w:tr>
      <w:tr>
        <w:trPr>
          <w:cantSplit/>
        </w:trPr>
        <w:tc>
          <w:tcPr>
            <w:tcW w:type="dxa" w:w="2436"/>
          </w:tcPr>
          <w:p>
            <w:pPr>
              <w:spacing w:after="60" w:before="0" w:line="240" w:lineRule="auto"/>
            </w:pPr>
            <w:r>
              <w:rPr>
                <w:rFonts w:ascii="Arial" w:hAnsi="Arial"/>
                <w:sz w:val="22"/>
              </w:rPr>
              <w:t>LinUCB</w:t>
            </w:r>
          </w:p>
        </w:tc>
        <w:tc>
          <w:tcPr>
            <w:tcW w:type="dxa" w:w="2436"/>
          </w:tcPr>
          <w:p>
            <w:pPr>
              <w:spacing w:after="60" w:before="0" w:line="240" w:lineRule="auto"/>
            </w:pPr>
            <w:r>
              <w:rPr>
                <w:rFonts w:ascii="Arial" w:hAnsi="Arial"/>
                <w:sz w:val="22"/>
              </w:rPr>
              <w:t>27.27</w:t>
            </w:r>
          </w:p>
        </w:tc>
        <w:tc>
          <w:tcPr>
            <w:tcW w:type="dxa" w:w="2436"/>
          </w:tcPr>
          <w:p>
            <w:pPr>
              <w:spacing w:after="60" w:before="0" w:line="240" w:lineRule="auto"/>
            </w:pPr>
            <w:r>
              <w:rPr>
                <w:rFonts w:ascii="Arial" w:hAnsi="Arial"/>
                <w:sz w:val="22"/>
              </w:rPr>
              <w:t>22.81</w:t>
            </w:r>
          </w:p>
        </w:tc>
        <w:tc>
          <w:tcPr>
            <w:tcW w:type="dxa" w:w="2436"/>
          </w:tcPr>
          <w:p>
            <w:pPr>
              <w:spacing w:after="60" w:before="0" w:line="240" w:lineRule="auto"/>
            </w:pPr>
            <w:r>
              <w:rPr>
                <w:rFonts w:ascii="Arial" w:hAnsi="Arial"/>
                <w:sz w:val="22"/>
              </w:rPr>
              <w:t>26.78</w:t>
            </w:r>
          </w:p>
        </w:tc>
      </w:tr>
    </w:tbl>
    <w:p>
      <w:r>
        <w:rPr>
          <w:rFonts w:ascii="Arial" w:hAnsi="Arial"/>
          <w:sz w:val="22"/>
        </w:rPr>
        <w:t>Table 5. SAPS reward-frozen BP IER is 0.00733 versus fresh-online 0.06000, with lower reward. This again illustrates that a small proposal-feasibility value alone is not recommendation success. The five-person/single-seed probe supports inspection, not a general transfer claim.</w:t>
      </w:r>
    </w:p>
    <w:p>
      <w:pPr>
        <w:pStyle w:val="Heading2"/>
      </w:pPr>
      <w:r>
        <w:rPr>
          <w:rFonts w:ascii="Arial" w:hAnsi="Arial"/>
          <w:sz w:val="22"/>
        </w:rPr>
        <w:t>Narrative execution and bookkeeping invariants</w:t>
      </w:r>
    </w:p>
    <w:p>
      <w:r>
        <w:rPr>
          <w:rFonts w:ascii="Arial" w:hAnsi="Arial"/>
          <w:sz w:val="22"/>
        </w:rPr>
        <w:t>The 70 main runs contain 84,000 user-days and 168,000 successful render calls: one recommendation and one closing per user-day, with zero recorded fallback. All assigned fractions equal one. Every run checks that skipped tasks have no physical outcome, completed counters match actual completed feedback, and SAPS Beta observation counts equal attempted tasks. Condition normalization and one-based narrator days align the authored acts.</w:t>
      </w:r>
    </w:p>
    <w:p>
      <w:r>
        <w:rPr>
          <w:rFonts w:ascii="Arial" w:hAnsi="Arial"/>
          <w:sz w:val="22"/>
        </w:rPr>
        <w:t>Act defaults are doctor for days 1–15, coach for 16–40 and companion for 41–60; transition/emotional overrides can change the actual tone. A rendered message is not automatically clinically appropriate: benchmark cross-body choices and generic template rationale remain limitations. These are execution checks, not empathy or adherence measurements. Historical external LLM-judge scores are archived rather than reused as final-run evidence.</w:t>
      </w:r>
    </w:p>
    <w:p>
      <w:r>
        <w:rPr>
          <w:rFonts w:ascii="Arial" w:hAnsi="Arial"/>
          <w:sz w:val="22"/>
        </w:rPr>
        <w:br w:type="page"/>
      </w:r>
    </w:p>
    <w:p>
      <w:pPr>
        <w:pStyle w:val="Heading1"/>
      </w:pPr>
      <w:r>
        <w:rPr>
          <w:rFonts w:ascii="Arial" w:hAnsi="Arial"/>
          <w:sz w:val="22"/>
        </w:rPr>
        <w:t>7. System demonstration and verification</w:t>
      </w:r>
    </w:p>
    <w:p>
      <w:pPr>
        <w:pStyle w:val="Heading2"/>
      </w:pPr>
      <w:r>
        <w:rPr>
          <w:rFonts w:ascii="Arial" w:hAnsi="Arial"/>
          <w:sz w:val="22"/>
        </w:rPr>
        <w:t>7.1 Access and representative interaction</w:t>
      </w:r>
    </w:p>
    <w:p>
      <w:r>
        <w:rPr>
          <w:rFonts w:ascii="Arial" w:hAnsi="Arial"/>
          <w:sz w:val="22"/>
        </w:rPr>
        <w:t>After installing requirements.txt and optional requirements-agent.txt, securely set a compatible provider key, then run python -m narracare.agent_app --port 7860. The terminal equivalent is python -m narracare.agent --user U001 --seed 42. Default model is gpt-4o-mini; endpoint/model can be configured. The app binds locally, public sharing is disabled, and live chat requires network access. Only synthetic demo inputs should be sent.</w:t>
      </w:r>
    </w:p>
    <w:p>
      <w:r>
        <w:rPr>
          <w:rFonts w:ascii="Arial" w:hAnsi="Arial"/>
          <w:sz w:val="22"/>
        </w:rPr>
        <w:t>The guided check-in can prepare “My current pain 3, fatigue 2, mood 7, ROM unknown. I prefer flexibility.” Send invokes LLM extraction and guarded retrieval. In the verified browser case, Safety reduced 100 to 61 candidates and retrieval produced ten relevant/preferred items; SAPS selected T017, IT Band Foam Rolling, difficulty 2/5, S=3.277. ROM remained unknown, with the conservative filtering proxy disclosed.</w:t>
      </w:r>
    </w:p>
    <w:p>
      <w:r>
        <w:rPr>
          <w:rFonts w:ascii="Arial" w:hAnsi="Arial"/>
          <w:sz w:val="22"/>
        </w:rPr>
        <w:drawing>
          <wp:inline xmlns:a="http://schemas.openxmlformats.org/drawingml/2006/main" xmlns:pic="http://schemas.openxmlformats.org/drawingml/2006/picture">
            <wp:extent cx="6080760" cy="2660332"/>
            <wp:docPr id="1" name="Picture 1"/>
            <wp:cNvGraphicFramePr>
              <a:graphicFrameLocks noChangeAspect="1"/>
            </wp:cNvGraphicFramePr>
            <a:graphic>
              <a:graphicData uri="http://schemas.openxmlformats.org/drawingml/2006/picture">
                <pic:pic>
                  <pic:nvPicPr>
                    <pic:cNvPr id="0" name="report-ui.png"/>
                    <pic:cNvPicPr/>
                  </pic:nvPicPr>
                  <pic:blipFill>
                    <a:blip r:embed="rId10"/>
                    <a:stretch>
                      <a:fillRect/>
                    </a:stretch>
                  </pic:blipFill>
                  <pic:spPr>
                    <a:xfrm>
                      <a:off x="0" y="0"/>
                      <a:ext cx="6080760" cy="2660332"/>
                    </a:xfrm>
                    <a:prstGeom prst="rect"/>
                  </pic:spPr>
                </pic:pic>
              </a:graphicData>
            </a:graphic>
          </wp:inline>
        </w:drawing>
      </w:r>
    </w:p>
    <w:p>
      <w:pPr>
        <w:pStyle w:val="Caption"/>
      </w:pPr>
      <w:r>
        <w:rPr>
          <w:rFonts w:ascii="Arial" w:hAnsi="Arial"/>
          <w:sz w:val="22"/>
        </w:rPr>
        <w:t>Figure 1. Production Gradio agent: companion trail, a real task/counts and state panel. Progress is still zero before an outcome; this is not an embedded trajectory replay.</w:t>
      </w:r>
    </w:p>
    <w:p>
      <w:r>
        <w:rPr>
          <w:rFonts w:ascii="Arial" w:hAnsi="Arial"/>
          <w:sz w:val="22"/>
        </w:rPr>
        <w:t>Users can ask why, revise a preference, decline, or report actual completion. “Completed. After pain 3, fatigue 3, satisfaction 0.8.” records the outcome and advances the day once. “I’ll try” does not. A fresh journey clears symptom fields; an explicit statement that pain prevents any task records a pause without invented recovery or learning.</w:t>
      </w:r>
    </w:p>
    <w:p>
      <w:pPr>
        <w:pStyle w:val="Heading2"/>
      </w:pPr>
      <w:r>
        <w:rPr>
          <w:rFonts w:ascii="Arial" w:hAnsi="Arial"/>
          <w:sz w:val="22"/>
        </w:rPr>
        <w:t>7.2 Offline integration and reproduction</w:t>
      </w:r>
    </w:p>
    <w:p>
      <w:r>
        <w:rPr>
          <w:rFonts w:ascii="Arial" w:hAnsi="Arial"/>
          <w:sz w:val="22"/>
        </w:rPr>
        <w:t>Without a provider key, python -m narracare.demo --user U001 --days 60 --policy saps --seed 42 runs the five benchmark components and prints their actual order. --inspect reads source/config/data. --compare saps,linucb,neuralucb prints short live traces followed by separately labelled stored final benchmark means. All simulation outputs are isolated in temporary storage.</w:t>
      </w:r>
    </w:p>
    <w:p>
      <w:r>
        <w:rPr>
          <w:rFonts w:ascii="Arial" w:hAnsi="Arial"/>
          <w:sz w:val="22"/>
        </w:rPr>
        <w:t>python -m pytest -q verifies regression behavior; python -m narracare.agent_check explicitly uses the real provider. Eight provider smoke cases and a production-browser guided check-in/recommendation/feedback/reset/pain-pause sequence passed. These are engineering scenarios, not a representative user evaluation. bash scripts/reproduce_all.sh regenerates every cited suite and compares seven final artifacts, including all values, at rtol=1e-10 and atol=1e-12; it exits nonzero on mismatch and never overwrites the references.</w:t>
      </w:r>
    </w:p>
    <w:p>
      <w:r>
        <w:rPr>
          <w:rFonts w:ascii="Arial" w:hAnsi="Arial"/>
          <w:sz w:val="22"/>
        </w:rPr>
        <w:br w:type="page"/>
      </w:r>
    </w:p>
    <w:p>
      <w:pPr>
        <w:pStyle w:val="Heading1"/>
      </w:pPr>
      <w:r>
        <w:rPr>
          <w:rFonts w:ascii="Arial" w:hAnsi="Arial"/>
          <w:sz w:val="22"/>
        </w:rPr>
        <w:t>8. Discussion and conclusion</w:t>
      </w:r>
    </w:p>
    <w:p>
      <w:pPr>
        <w:pStyle w:val="Heading2"/>
      </w:pPr>
      <w:r>
        <w:rPr>
          <w:rFonts w:ascii="Arial" w:hAnsi="Arial"/>
          <w:sz w:val="22"/>
        </w:rPr>
        <w:t>8.1 What is useful and transferable</w:t>
      </w:r>
    </w:p>
    <w:p>
      <w:r>
        <w:rPr>
          <w:rFonts w:ascii="Arial" w:hAnsi="Arial"/>
          <w:sz w:val="22"/>
        </w:rPr>
        <w:t>NarraCare shows how a context-aware recommender can expose its complete selection path: self-reported state and preferences constrain retrieval, a conventional learner ranks items, independent checks validate delivery, a template companion presents the result, and explicit outcomes drive learning. This organization can guide future work where unsafe recommendations have asymmetric cost, provided catalogue content, inputs and constraints receive appropriate domain validation.</w:t>
      </w:r>
    </w:p>
    <w:p>
      <w:r>
        <w:rPr>
          <w:rFonts w:ascii="Arial" w:hAnsi="Arial"/>
          <w:sz w:val="22"/>
        </w:rPr>
        <w:t>The transferable contribution is an inspectable architecture and evaluation practice, rather than a clinically ready rehabilitation agent. Joint reporting of reward, acceptance/completion, proposal feasibility and executed-rule compliance makes tradeoffs visible. The safety ablation establishes an implementation mechanism; the fixed bonus ablation prevents attributing the mechanism’s benefit to an unsupported algorithmic claim.</w:t>
      </w:r>
    </w:p>
    <w:p>
      <w:pPr>
        <w:pStyle w:val="Heading2"/>
      </w:pPr>
      <w:r>
        <w:rPr>
          <w:rFonts w:ascii="Arial" w:hAnsi="Arial"/>
          <w:sz w:val="22"/>
        </w:rPr>
        <w:t>8.2 Why not simply use Random?</w:t>
      </w:r>
    </w:p>
    <w:p>
      <w:r>
        <w:rPr>
          <w:rFonts w:ascii="Arial" w:hAnsi="Arial"/>
          <w:sz w:val="22"/>
        </w:rPr>
        <w:t>Within this simulator, filtered Random is a strong baseline and has higher reward. There is no evidence-based reason here to claim SAPS should replace it on reward. SAPS produces fewer rule-infeasible raw proposals, but that diagnostic difference does not establish a better delivered outcome when all policies share the same filter. The appropriate conclusion is to retain the baseline and investigate assumptions, not to redefine success around a metric favorable to SAPS.</w:t>
      </w:r>
    </w:p>
    <w:p>
      <w:r>
        <w:rPr>
          <w:rFonts w:ascii="Arial" w:hAnsi="Arial"/>
          <w:sz w:val="22"/>
        </w:rPr>
        <w:t>The shortlist experiment shows that interface choice changes the simulated problem; coverage suggests a mechanism to investigate but not a cause already proven. The next useful improvement would specify an independent utility/validation target and controlled exploration experiment, rather than tuning tau on the final seeds until the table becomes favorable.</w:t>
      </w:r>
    </w:p>
    <w:p>
      <w:pPr>
        <w:pStyle w:val="Heading2"/>
      </w:pPr>
      <w:r>
        <w:rPr>
          <w:rFonts w:ascii="Arial" w:hAnsi="Arial"/>
          <w:sz w:val="22"/>
        </w:rPr>
        <w:t>8.3 Limitations and next steps</w:t>
      </w:r>
    </w:p>
    <w:p>
      <w:r>
        <w:rPr>
          <w:rFonts w:ascii="Arial" w:hAnsi="Arial"/>
          <w:sz w:val="22"/>
        </w:rPr>
        <w:t>First, authored synthetic tasks and five predicates are not clinical ground truth. There is no clinician review, patient study or calibrated adverse-event label. The 51 design definitions must not be counted as fully enforced clinical rules. Real deployment would require approved exercise content, contraindication validation and monitored evaluation.</w:t>
      </w:r>
    </w:p>
    <w:p>
      <w:r>
        <w:rPr>
          <w:rFonts w:ascii="Arial" w:hAnsi="Arial"/>
          <w:sz w:val="22"/>
        </w:rPr>
        <w:t>Second, online results depend on the hand-designed utility, acceptance and recovery equations. Final seed separation tests stochastic repeatability within that environment, not independent real-world generalization. Shared learning, task-only Beta counts and weak baseline implementations limit what performance differences mean. The IER probe consumes randomness and changes training through penalties; it is not a completely external evaluator.</w:t>
      </w:r>
    </w:p>
    <w:p>
      <w:r>
        <w:rPr>
          <w:rFonts w:ascii="Arial" w:hAnsi="Arial"/>
          <w:sz w:val="22"/>
        </w:rPr>
        <w:t>Third, the live and benchmark paths differ: real dialogue and category/body-part retrieval are present in the live agent, while the benchmark uses simulated outcomes and broader task eligibility. Engineering smoke tests do not establish conversational effectiveness. Missing input remains a practical challenge; guided entry is not medical-record ingestion, and unknown ROM handling needs clinical review.</w:t>
      </w:r>
    </w:p>
    <w:p>
      <w:r>
        <w:rPr>
          <w:rFonts w:ascii="Arial" w:hAnsi="Arial"/>
          <w:sz w:val="22"/>
        </w:rPr>
        <w:t>Fourth, companionship, narrative tone and small trail achievements are intended to support autonomy and manageable effort. We have not shown improved adherence, reduced fatigue or therapeutic benefit. A controlled user study would be necessary before making those claims. Free-form LLM language, evidence extraction and keyword holds also remain fallible.</w:t>
      </w:r>
    </w:p>
    <w:p>
      <w:pPr>
        <w:pStyle w:val="Heading2"/>
      </w:pPr>
      <w:r>
        <w:rPr>
          <w:rFonts w:ascii="Arial" w:hAnsi="Arial"/>
          <w:sz w:val="22"/>
        </w:rPr>
        <w:t>8.4 Conclusion</w:t>
      </w:r>
    </w:p>
    <w:p>
      <w:r>
        <w:rPr>
          <w:rFonts w:ascii="Arial" w:hAnsi="Arial"/>
          <w:sz w:val="22"/>
        </w:rPr>
        <w:t>The final system is runnable, interactive and traceable to regenerated evidence. Hard runtime checks reduce recorded rule violations; SAPS does not establish reward or safety-bonus superiority, and filtered Random remains stronger on simulated utility. The project’s defensible contribution is a task-specific integration that makes these outcomes, limitations and future validation needs visible end to end.</w:t>
      </w:r>
    </w:p>
    <w:p>
      <w:r>
        <w:rPr>
          <w:rFonts w:ascii="Arial" w:hAnsi="Arial"/>
          <w:sz w:val="22"/>
        </w:rPr>
        <w:br w:type="page"/>
      </w:r>
    </w:p>
    <w:p>
      <w:pPr>
        <w:pStyle w:val="Heading1"/>
      </w:pPr>
      <w:r>
        <w:rPr>
          <w:rFonts w:ascii="Arial" w:hAnsi="Arial"/>
          <w:sz w:val="22"/>
        </w:rPr>
        <w:t>References</w:t>
      </w:r>
    </w:p>
    <w:p>
      <w:r>
        <w:rPr>
          <w:rFonts w:ascii="Arial" w:hAnsi="Arial"/>
          <w:sz w:val="22"/>
        </w:rPr>
        <w:t>[1] Jack, K., McLean, S. M., Moffett, J. K., &amp; Gardiner, E. (2010). Barriers to treatment adherence in physiotherapy outpatient clinics: A systematic review. Manual Therapy, 15(3), 220–228.</w:t>
      </w:r>
    </w:p>
    <w:p>
      <w:r>
        <w:rPr>
          <w:rFonts w:ascii="Arial" w:hAnsi="Arial"/>
          <w:sz w:val="22"/>
        </w:rPr>
        <w:t>[2] Argent, R., Daly, A., &amp; Caulfield, B. (2018). Patient involvement with home-based exercise programs: Can connected health interventions influence adherence? JMIR mHealth and uHealth, 6(3), e47.</w:t>
      </w:r>
    </w:p>
    <w:p>
      <w:r>
        <w:rPr>
          <w:rFonts w:ascii="Arial" w:hAnsi="Arial"/>
          <w:sz w:val="22"/>
        </w:rPr>
        <w:t>[3] Li, L., Chu, W., Langford, J., &amp; Schapire, R. E. (2010). A contextual-bandit approach to personalized news article recommendation. Proceedings of WWW, 661–670.</w:t>
      </w:r>
    </w:p>
    <w:p>
      <w:r>
        <w:rPr>
          <w:rFonts w:ascii="Arial" w:hAnsi="Arial"/>
          <w:sz w:val="22"/>
        </w:rPr>
        <w:t>[4] Agrawal, S., &amp; Goyal, N. (2013). Thompson sampling for contextual bandits with linear payoffs. Proceedings of ICML, PMLR 28(3), 127–135.</w:t>
      </w:r>
    </w:p>
    <w:p>
      <w:r>
        <w:rPr>
          <w:rFonts w:ascii="Arial" w:hAnsi="Arial"/>
          <w:sz w:val="22"/>
        </w:rPr>
        <w:t>[5] Amani, S., Alizadeh, M., &amp; Thrampoulidis, C. (2019). Linear stochastic bandits under safety constraints. Advances in Neural Information Processing Systems, 32.</w:t>
      </w:r>
    </w:p>
    <w:p>
      <w:r>
        <w:rPr>
          <w:rFonts w:ascii="Arial" w:hAnsi="Arial"/>
          <w:sz w:val="22"/>
        </w:rPr>
        <w:t>[6] Pacchiano, A., Ghavamzadeh, M., Bartlett, P., &amp; Jiang, H. (2021). Stochastic bandits with linear constraints. Proceedings of AISTATS, PMLR 130, 2827–2835.</w:t>
      </w:r>
    </w:p>
    <w:p>
      <w:r>
        <w:rPr>
          <w:rFonts w:ascii="Arial" w:hAnsi="Arial"/>
          <w:sz w:val="22"/>
        </w:rPr>
        <w:t>[7] Zhou, D., Li, L., &amp; Gu, Q. (2020). Neural contextual bandits with UCB-based exploration. Proceedings of ICML, PMLR 119, 11492–11502.</w:t>
      </w:r>
    </w:p>
    <w:p>
      <w:r>
        <w:rPr>
          <w:rFonts w:ascii="Arial" w:hAnsi="Arial"/>
          <w:sz w:val="22"/>
        </w:rPr>
        <w:t>[8] Riedl, M. O., &amp; Bulitko, V. (2013). Interactive narrative: An intelligent systems approach. AI Magazine, 34(1), 67–77.</w:t>
      </w:r>
    </w:p>
    <w:p>
      <w:r>
        <w:rPr>
          <w:rFonts w:ascii="Arial" w:hAnsi="Arial"/>
          <w:sz w:val="22"/>
        </w:rPr>
        <w:t>[9] Deci, E. L., &amp; Ryan, R. M. (2000). The “what” and “why” of goal pursuits: Human needs and the self-determination of behavior. Psychological Inquiry, 11(4), 227–268.</w:t>
      </w:r>
    </w:p>
    <w:p>
      <w:r>
        <w:rPr>
          <w:rFonts w:ascii="Arial" w:hAnsi="Arial"/>
          <w:sz w:val="22"/>
        </w:rPr>
        <w:t>[10] van Grinsven, S., van Cingel, R. E. H., Holla, C. J. M., &amp; van Loon, C. J. M. (2010). Evidence-based rehabilitation following anterior cruciate ligament reconstruction. Knee Surgery, Sports Traumatology, Arthroscopy, 18(8), 1128–1144.</w:t>
      </w:r>
    </w:p>
    <w:p>
      <w:r>
        <w:rPr>
          <w:rFonts w:ascii="Arial" w:hAnsi="Arial"/>
          <w:sz w:val="22"/>
        </w:rPr>
        <w:t>[11] Kuhn, J. E. (2009). Exercise in the treatment of rotator cuff impingement: A systematic review and a synthesized evidence-based rehabilitation protocol. Journal of Shoulder and Elbow Surgery, 18(1), 138–160.</w:t>
      </w:r>
    </w:p>
    <w:p>
      <w:r>
        <w:rPr>
          <w:rFonts w:ascii="Arial" w:hAnsi="Arial"/>
          <w:sz w:val="22"/>
        </w:rPr>
        <w:t>Reproducibility note: evaluation/run_submission.py and evaluation/results/final/protocol.json define the exact final protocol and source/data hashes. Archived evidence is explicitly separated from current results. The report does not rely on historical LLM-judge scores as current evaluation.</w:t>
      </w:r>
    </w:p>
    <w:p>
      <w:r>
        <w:rPr>
          <w:rFonts w:ascii="Arial" w:hAnsi="Arial"/>
          <w:sz w:val="22"/>
        </w:rPr>
        <w:t>Repository: https://github.com/ZHIQIAN-fine/NarraCare</w:t>
      </w:r>
    </w:p>
    <w:sectPr w:rsidR="00FC693F" w:rsidRPr="0006063C" w:rsidSect="00034616">
      <w:footerReference w:type="default" r:id="rId9"/>
      <w:pgSz w:w="11906" w:h="16838"/>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NarraCare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0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sz w:val="22"/>
    </w:rPr>
  </w:style>
  <w:style w:type="character" w:customStyle="1" w:styleId="HeaderChar">
    <w:name w:val="Header Char"/>
    <w:basedOn w:val="DefaultParagraphFont"/>
    <w:link w:val="Header"/>
    <w:uiPriority w:val="99"/>
    <w:rsid w:val="00E618BF"/>
    <w:rPr>
      <w:rFonts w:ascii="Arial" w:hAnsi="Arial" w:eastAsia="Arial"/>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sz w:val="22"/>
    </w:rPr>
  </w:style>
  <w:style w:type="character" w:customStyle="1" w:styleId="FooterChar">
    <w:name w:val="Footer Char"/>
    <w:basedOn w:val="DefaultParagraphFont"/>
    <w:link w:val="Footer"/>
    <w:uiPriority w:val="99"/>
    <w:rsid w:val="00E618BF"/>
    <w:rPr>
      <w:rFonts w:ascii="Arial" w:hAnsi="Arial" w:eastAsia="Arial"/>
      <w:sz w:val="22"/>
    </w:rPr>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eastAsia="Arial"/>
      <w:b/>
      <w:bCs/>
      <w:color w:val="173F45"/>
      <w:sz w:val="22"/>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eastAsia="Arial"/>
      <w:b/>
      <w:bCs/>
      <w:color w:val="173F4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eastAsia="Arial"/>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eastAsia="Arial"/>
      <w:i/>
      <w:iCs/>
      <w:color w:val="243F60" w:themeColor="accent1" w:themeShade="7F"/>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eastAsia="Arial"/>
      <w:i/>
      <w:iCs/>
      <w:color w:val="404040" w:themeColor="text1" w:themeTint="BF"/>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eastAsia="Arial"/>
      <w:color w:val="4F81BD" w:themeColor="accent1"/>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eastAsia="Arial"/>
      <w:i/>
      <w:iCs/>
      <w:color w:val="404040" w:themeColor="text1" w:themeTint="BF"/>
      <w:sz w:val="22"/>
      <w:szCs w:val="20"/>
    </w:rPr>
  </w:style>
  <w:style w:type="character" w:default="1" w:styleId="DefaultParagraphFont">
    <w:name w:val="Default Paragraph Font"/>
    <w:uiPriority w:val="1"/>
    <w:semiHidden/>
    <w:unhideWhenUsed/>
    <w:rPr>
      <w:rFonts w:ascii="Arial" w:hAnsi="Arial" w:eastAsia="Arial"/>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eastAsia="Arial"/>
      <w:b/>
      <w:bCs/>
      <w:color w:val="365F91" w:themeColor="accent1" w:themeShade="BF"/>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eastAsia="Arial"/>
      <w:b/>
      <w:bCs/>
      <w:color w:val="4F81BD" w:themeColor="accent1"/>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eastAsia="Arial"/>
      <w:b/>
      <w:bCs/>
      <w:color w:val="4F81BD" w:themeColor="accent1"/>
      <w:sz w:val="22"/>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eastAsia="Arial"/>
      <w:b/>
      <w:color w:val="173F45"/>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eastAsia="Arial"/>
      <w:color w:val="17365D" w:themeColor="text2" w:themeShade="BF"/>
      <w:spacing w:val="5"/>
      <w:kern w:val="28"/>
      <w:sz w:val="22"/>
      <w:szCs w:val="52"/>
    </w:rPr>
  </w:style>
  <w:style w:type="paragraph" w:styleId="Subtitle">
    <w:name w:val="Subtitle"/>
    <w:basedOn w:val="Normal"/>
    <w:next w:val="Normal"/>
    <w:link w:val="SubtitleChar"/>
    <w:uiPriority w:val="11"/>
    <w:qFormat/>
    <w:rsid w:val="00FC693F"/>
    <w:pPr>
      <w:numPr>
        <w:ilvl w:val="1"/>
      </w:numPr>
      <w:spacing w:line="240" w:lineRule="auto" w:after="100" w:before="0"/>
    </w:pPr>
    <w:rPr>
      <w:rFonts w:asciiTheme="majorHAnsi" w:eastAsiaTheme="majorEastAsia" w:hAnsiTheme="majorHAnsi" w:cstheme="majorBidi" w:ascii="Arial" w:hAnsi="Arial" w:eastAsia="Arial"/>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eastAsia="Arial"/>
      <w:i/>
      <w:iCs/>
      <w:color w:val="4F81BD" w:themeColor="accent1"/>
      <w:spacing w:val="15"/>
      <w:sz w:val="22"/>
      <w:szCs w:val="24"/>
    </w:rPr>
  </w:style>
  <w:style w:type="paragraph" w:styleId="ListParagraph">
    <w:name w:val="List Paragraph"/>
    <w:basedOn w:val="Normal"/>
    <w:uiPriority w:val="34"/>
    <w:qFormat/>
    <w:rsid w:val="00FC693F"/>
    <w:pPr>
      <w:ind w:left="720"/>
      <w:contextualSpacing/>
    </w:pPr>
    <w:rPr>
      <w:rFonts w:ascii="Arial" w:hAnsi="Arial" w:eastAsia="Arial"/>
      <w:sz w:val="22"/>
    </w:rPr>
  </w:style>
  <w:style w:type="paragraph" w:styleId="BodyText">
    <w:name w:val="Body Text"/>
    <w:basedOn w:val="Normal"/>
    <w:link w:val="BodyTextChar"/>
    <w:uiPriority w:val="99"/>
    <w:unhideWhenUsed/>
    <w:rsid w:val="00AA1D8D"/>
    <w:pPr>
      <w:spacing w:after="120"/>
    </w:pPr>
    <w:rPr>
      <w:rFonts w:ascii="Arial" w:hAnsi="Arial" w:eastAsia="Arial"/>
      <w:sz w:val="22"/>
    </w:rPr>
  </w:style>
  <w:style w:type="character" w:customStyle="1" w:styleId="BodyTextChar">
    <w:name w:val="Body Text Char"/>
    <w:basedOn w:val="DefaultParagraphFont"/>
    <w:link w:val="BodyText"/>
    <w:uiPriority w:val="99"/>
    <w:rsid w:val="00AA1D8D"/>
    <w:rPr>
      <w:rFonts w:ascii="Arial" w:hAnsi="Arial" w:eastAsia="Arial"/>
      <w:sz w:val="22"/>
    </w:rPr>
  </w:style>
  <w:style w:type="paragraph" w:styleId="BodyText2">
    <w:name w:val="Body Text 2"/>
    <w:basedOn w:val="Normal"/>
    <w:link w:val="BodyText2Char"/>
    <w:uiPriority w:val="99"/>
    <w:unhideWhenUsed/>
    <w:rsid w:val="00AA1D8D"/>
    <w:pPr>
      <w:spacing w:after="120" w:line="480" w:lineRule="auto"/>
    </w:pPr>
    <w:rPr>
      <w:rFonts w:ascii="Arial" w:hAnsi="Arial" w:eastAsia="Arial"/>
      <w:sz w:val="22"/>
    </w:rPr>
  </w:style>
  <w:style w:type="character" w:customStyle="1" w:styleId="BodyText2Char">
    <w:name w:val="Body Text 2 Char"/>
    <w:basedOn w:val="DefaultParagraphFont"/>
    <w:link w:val="BodyText2"/>
    <w:uiPriority w:val="99"/>
    <w:rsid w:val="00AA1D8D"/>
    <w:rPr>
      <w:rFonts w:ascii="Arial" w:hAnsi="Arial" w:eastAsia="Arial"/>
      <w:sz w:val="22"/>
    </w:rPr>
  </w:style>
  <w:style w:type="paragraph" w:styleId="BodyText3">
    <w:name w:val="Body Text 3"/>
    <w:basedOn w:val="Normal"/>
    <w:link w:val="BodyText3Char"/>
    <w:uiPriority w:val="99"/>
    <w:unhideWhenUsed/>
    <w:rsid w:val="00AA1D8D"/>
    <w:pPr>
      <w:spacing w:after="120"/>
    </w:pPr>
    <w:rPr>
      <w:rFonts w:ascii="Arial" w:hAnsi="Arial" w:eastAsia="Arial"/>
      <w:sz w:val="22"/>
      <w:szCs w:val="16"/>
    </w:rPr>
  </w:style>
  <w:style w:type="character" w:customStyle="1" w:styleId="BodyText3Char">
    <w:name w:val="Body Text 3 Char"/>
    <w:basedOn w:val="DefaultParagraphFont"/>
    <w:link w:val="BodyText3"/>
    <w:uiPriority w:val="99"/>
    <w:rsid w:val="00AA1D8D"/>
    <w:rPr>
      <w:rFonts w:ascii="Arial" w:hAnsi="Arial" w:eastAsia="Arial"/>
      <w:sz w:val="22"/>
      <w:szCs w:val="16"/>
    </w:rPr>
  </w:style>
  <w:style w:type="paragraph" w:styleId="List">
    <w:name w:val="List"/>
    <w:basedOn w:val="Normal"/>
    <w:uiPriority w:val="99"/>
    <w:unhideWhenUsed/>
    <w:rsid w:val="00AA1D8D"/>
    <w:pPr>
      <w:ind w:left="360" w:hanging="360"/>
      <w:contextualSpacing/>
    </w:pPr>
    <w:rPr>
      <w:rFonts w:ascii="Arial" w:hAnsi="Arial" w:eastAsia="Arial"/>
      <w:sz w:val="22"/>
    </w:rPr>
  </w:style>
  <w:style w:type="paragraph" w:styleId="List2">
    <w:name w:val="List 2"/>
    <w:basedOn w:val="Normal"/>
    <w:uiPriority w:val="99"/>
    <w:unhideWhenUsed/>
    <w:rsid w:val="00326F90"/>
    <w:pPr>
      <w:ind w:left="720" w:hanging="360"/>
      <w:contextualSpacing/>
    </w:pPr>
    <w:rPr>
      <w:rFonts w:ascii="Arial" w:hAnsi="Arial" w:eastAsia="Arial"/>
      <w:sz w:val="22"/>
    </w:rPr>
  </w:style>
  <w:style w:type="paragraph" w:styleId="List3">
    <w:name w:val="List 3"/>
    <w:basedOn w:val="Normal"/>
    <w:uiPriority w:val="99"/>
    <w:unhideWhenUsed/>
    <w:rsid w:val="00326F90"/>
    <w:pPr>
      <w:ind w:left="1080" w:hanging="360"/>
      <w:contextualSpacing/>
    </w:pPr>
    <w:rPr>
      <w:rFonts w:ascii="Arial" w:hAnsi="Arial" w:eastAsia="Arial"/>
      <w:sz w:val="22"/>
    </w:rPr>
  </w:style>
  <w:style w:type="paragraph" w:styleId="ListBullet">
    <w:name w:val="List Bullet"/>
    <w:basedOn w:val="Normal"/>
    <w:uiPriority w:val="99"/>
    <w:unhideWhenUsed/>
    <w:rsid w:val="00326F90"/>
    <w:pPr>
      <w:numPr>
        <w:numId w:val="1"/>
      </w:numPr>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rPr>
      <w:rFonts w:ascii="Arial" w:hAnsi="Arial" w:eastAsia="Arial"/>
      <w:sz w:val="22"/>
    </w:rPr>
  </w:style>
  <w:style w:type="paragraph" w:styleId="ListBullet3">
    <w:name w:val="List Bullet 3"/>
    <w:basedOn w:val="Normal"/>
    <w:uiPriority w:val="99"/>
    <w:unhideWhenUsed/>
    <w:rsid w:val="00326F90"/>
    <w:pPr>
      <w:numPr>
        <w:numId w:val="3"/>
      </w:numPr>
      <w:contextualSpacing/>
    </w:pPr>
    <w:rPr>
      <w:rFonts w:ascii="Arial" w:hAnsi="Arial" w:eastAsia="Arial"/>
      <w:sz w:val="22"/>
    </w:rPr>
  </w:style>
  <w:style w:type="paragraph" w:styleId="ListNumber">
    <w:name w:val="List Number"/>
    <w:basedOn w:val="Normal"/>
    <w:uiPriority w:val="99"/>
    <w:unhideWhenUsed/>
    <w:rsid w:val="00326F90"/>
    <w:pPr>
      <w:numPr>
        <w:numId w:val="5"/>
      </w:numPr>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rPr>
      <w:rFonts w:ascii="Arial" w:hAnsi="Arial" w:eastAsia="Arial"/>
      <w:sz w:val="22"/>
    </w:rPr>
  </w:style>
  <w:style w:type="paragraph" w:styleId="ListNumber3">
    <w:name w:val="List Number 3"/>
    <w:basedOn w:val="Normal"/>
    <w:uiPriority w:val="99"/>
    <w:unhideWhenUsed/>
    <w:rsid w:val="0029639D"/>
    <w:pPr>
      <w:numPr>
        <w:numId w:val="7"/>
      </w:numPr>
      <w:contextualSpacing/>
    </w:pPr>
    <w:rPr>
      <w:rFonts w:ascii="Arial" w:hAnsi="Arial" w:eastAsia="Arial"/>
      <w:sz w:val="22"/>
    </w:rPr>
  </w:style>
  <w:style w:type="paragraph" w:styleId="ListContinue">
    <w:name w:val="List Continue"/>
    <w:basedOn w:val="Normal"/>
    <w:uiPriority w:val="99"/>
    <w:unhideWhenUsed/>
    <w:rsid w:val="0029639D"/>
    <w:pPr>
      <w:spacing w:after="120"/>
      <w:ind w:left="360"/>
      <w:contextualSpacing/>
    </w:pPr>
    <w:rPr>
      <w:rFonts w:ascii="Arial" w:hAnsi="Arial" w:eastAsia="Arial"/>
      <w:sz w:val="22"/>
    </w:rPr>
  </w:style>
  <w:style w:type="paragraph" w:styleId="ListContinue2">
    <w:name w:val="List Continue 2"/>
    <w:basedOn w:val="Normal"/>
    <w:uiPriority w:val="99"/>
    <w:unhideWhenUsed/>
    <w:rsid w:val="0029639D"/>
    <w:pPr>
      <w:spacing w:after="120"/>
      <w:ind w:left="720"/>
      <w:contextualSpacing/>
    </w:pPr>
    <w:rPr>
      <w:rFonts w:ascii="Arial" w:hAnsi="Arial" w:eastAsia="Arial"/>
      <w:sz w:val="22"/>
    </w:rPr>
  </w:style>
  <w:style w:type="paragraph" w:styleId="ListContinue3">
    <w:name w:val="List Continue 3"/>
    <w:basedOn w:val="Normal"/>
    <w:uiPriority w:val="99"/>
    <w:unhideWhenUsed/>
    <w:rsid w:val="0029639D"/>
    <w:pPr>
      <w:spacing w:after="120"/>
      <w:ind w:left="1080"/>
      <w:contextualSpacing/>
    </w:pPr>
    <w:rPr>
      <w:rFonts w:ascii="Arial" w:hAnsi="Arial" w:eastAsia="Arial"/>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sz w:val="22"/>
      <w:szCs w:val="20"/>
    </w:rPr>
  </w:style>
  <w:style w:type="character" w:customStyle="1" w:styleId="MacroTextChar">
    <w:name w:val="Macro Text Char"/>
    <w:basedOn w:val="DefaultParagraphFont"/>
    <w:link w:val="MacroText"/>
    <w:uiPriority w:val="99"/>
    <w:rsid w:val="0029639D"/>
    <w:rPr>
      <w:rFonts w:ascii="Arial" w:hAnsi="Arial" w:eastAsia="Arial"/>
      <w:sz w:val="22"/>
      <w:szCs w:val="20"/>
    </w:rPr>
  </w:style>
  <w:style w:type="paragraph" w:styleId="Quote">
    <w:name w:val="Quote"/>
    <w:basedOn w:val="Normal"/>
    <w:next w:val="Normal"/>
    <w:link w:val="QuoteChar"/>
    <w:uiPriority w:val="29"/>
    <w:qFormat/>
    <w:rsid w:val="00FC693F"/>
    <w:rPr>
      <w:rFonts w:ascii="Arial" w:hAnsi="Arial" w:eastAsia="Arial"/>
      <w:i/>
      <w:iCs/>
      <w:color w:val="000000" w:themeColor="text1"/>
      <w:sz w:val="22"/>
    </w:rPr>
  </w:style>
  <w:style w:type="character" w:customStyle="1" w:styleId="QuoteChar">
    <w:name w:val="Quote Char"/>
    <w:basedOn w:val="DefaultParagraphFont"/>
    <w:link w:val="Quote"/>
    <w:uiPriority w:val="29"/>
    <w:rsid w:val="00FC693F"/>
    <w:rPr>
      <w:rFonts w:ascii="Arial" w:hAnsi="Arial" w:eastAsia="Arial"/>
      <w:i/>
      <w:iCs/>
      <w:color w:val="000000" w:themeColor="text1"/>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eastAsia="Arial"/>
      <w:b/>
      <w:bCs/>
      <w:i/>
      <w:iCs/>
      <w:color w:val="4F81BD" w:themeColor="accent1"/>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eastAsia="Arial"/>
      <w:color w:val="243F60" w:themeColor="accent1" w:themeShade="7F"/>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eastAsia="Arial"/>
      <w:i/>
      <w:iCs/>
      <w:color w:val="243F60" w:themeColor="accent1" w:themeShade="7F"/>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eastAsia="Arial"/>
      <w:i/>
      <w:iCs/>
      <w:color w:val="404040" w:themeColor="text1" w:themeTint="BF"/>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eastAsia="Arial"/>
      <w:color w:val="4F81BD" w:themeColor="accent1"/>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eastAsia="Arial"/>
      <w:i/>
      <w:iCs/>
      <w:color w:val="404040" w:themeColor="text1" w:themeTint="BF"/>
      <w:sz w:val="22"/>
      <w:szCs w:val="20"/>
    </w:rPr>
  </w:style>
  <w:style w:type="paragraph" w:styleId="Caption">
    <w:name w:val="caption"/>
    <w:basedOn w:val="Normal"/>
    <w:next w:val="Normal"/>
    <w:uiPriority w:val="35"/>
    <w:semiHidden/>
    <w:unhideWhenUsed/>
    <w:qFormat/>
    <w:rsid w:val="00FC693F"/>
    <w:pPr>
      <w:spacing w:line="240" w:lineRule="auto" w:after="100" w:before="0"/>
    </w:pPr>
    <w:rPr>
      <w:rFonts w:ascii="Arial" w:hAnsi="Arial" w:eastAsia="Arial"/>
      <w:b/>
      <w:bCs/>
      <w:color w:val="4F81BD" w:themeColor="accent1"/>
      <w:sz w:val="22"/>
      <w:szCs w:val="18"/>
    </w:rPr>
  </w:style>
  <w:style w:type="character" w:styleId="Strong">
    <w:name w:val="Strong"/>
    <w:basedOn w:val="DefaultParagraphFont"/>
    <w:uiPriority w:val="22"/>
    <w:qFormat/>
    <w:rsid w:val="00FC693F"/>
    <w:rPr>
      <w:rFonts w:ascii="Arial" w:hAnsi="Arial" w:eastAsia="Arial"/>
      <w:b/>
      <w:bCs/>
      <w:sz w:val="22"/>
    </w:rPr>
  </w:style>
  <w:style w:type="character" w:styleId="Emphasis">
    <w:name w:val="Emphasis"/>
    <w:basedOn w:val="DefaultParagraphFont"/>
    <w:uiPriority w:val="20"/>
    <w:qFormat/>
    <w:rsid w:val="00FC693F"/>
    <w:rPr>
      <w:rFonts w:ascii="Arial" w:hAnsi="Arial" w:eastAsia="Arial"/>
      <w:i/>
      <w:iCs/>
      <w:sz w:val="22"/>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4F81BD" w:themeColor="accent1"/>
      <w:sz w:val="22"/>
    </w:rPr>
  </w:style>
  <w:style w:type="character" w:customStyle="1" w:styleId="IntenseQuoteChar">
    <w:name w:val="Intense Quote Char"/>
    <w:basedOn w:val="DefaultParagraphFont"/>
    <w:link w:val="IntenseQuote"/>
    <w:uiPriority w:val="30"/>
    <w:rsid w:val="00FC693F"/>
    <w:rPr>
      <w:rFonts w:ascii="Arial" w:hAnsi="Arial" w:eastAsia="Arial"/>
      <w:b/>
      <w:bCs/>
      <w:i/>
      <w:iCs/>
      <w:color w:val="4F81BD" w:themeColor="accent1"/>
      <w:sz w:val="22"/>
    </w:rPr>
  </w:style>
  <w:style w:type="character" w:styleId="SubtleEmphasis">
    <w:name w:val="Subtle Emphasis"/>
    <w:basedOn w:val="DefaultParagraphFont"/>
    <w:uiPriority w:val="19"/>
    <w:qFormat/>
    <w:rsid w:val="00FC693F"/>
    <w:rPr>
      <w:rFonts w:ascii="Arial" w:hAnsi="Arial" w:eastAsia="Arial"/>
      <w:i/>
      <w:iCs/>
      <w:color w:val="808080" w:themeColor="text1" w:themeTint="7F"/>
      <w:sz w:val="22"/>
    </w:rPr>
  </w:style>
  <w:style w:type="character" w:styleId="IntenseEmphasis">
    <w:name w:val="Intense Emphasis"/>
    <w:basedOn w:val="DefaultParagraphFont"/>
    <w:uiPriority w:val="21"/>
    <w:qFormat/>
    <w:rsid w:val="00FC693F"/>
    <w:rPr>
      <w:rFonts w:ascii="Arial" w:hAnsi="Arial" w:eastAsia="Arial"/>
      <w:b/>
      <w:bCs/>
      <w:i/>
      <w:iCs/>
      <w:color w:val="4F81BD" w:themeColor="accent1"/>
      <w:sz w:val="22"/>
    </w:rPr>
  </w:style>
  <w:style w:type="character" w:styleId="SubtleReference">
    <w:name w:val="Subtle Reference"/>
    <w:basedOn w:val="DefaultParagraphFont"/>
    <w:uiPriority w:val="31"/>
    <w:qFormat/>
    <w:rsid w:val="00FC693F"/>
    <w:rPr>
      <w:rFonts w:ascii="Arial" w:hAnsi="Arial" w:eastAsia="Arial"/>
      <w:smallCaps/>
      <w:color w:val="C0504D" w:themeColor="accent2"/>
      <w:sz w:val="22"/>
      <w:u w:val="single"/>
    </w:rPr>
  </w:style>
  <w:style w:type="character" w:styleId="IntenseReference">
    <w:name w:val="Intense Reference"/>
    <w:basedOn w:val="DefaultParagraphFont"/>
    <w:uiPriority w:val="32"/>
    <w:qFormat/>
    <w:rsid w:val="00FC693F"/>
    <w:rPr>
      <w:rFonts w:ascii="Arial" w:hAnsi="Arial" w:eastAsia="Arial"/>
      <w:b/>
      <w:bCs/>
      <w:smallCaps/>
      <w:color w:val="C0504D" w:themeColor="accent2"/>
      <w:spacing w:val="5"/>
      <w:sz w:val="22"/>
      <w:u w:val="single"/>
    </w:rPr>
  </w:style>
  <w:style w:type="character" w:styleId="BookTitle">
    <w:name w:val="Book Title"/>
    <w:basedOn w:val="DefaultParagraphFont"/>
    <w:uiPriority w:val="33"/>
    <w:qFormat/>
    <w:rsid w:val="00FC693F"/>
    <w:rPr>
      <w:rFonts w:ascii="Arial" w:hAnsi="Arial" w:eastAsia="Arial"/>
      <w:b/>
      <w:bCs/>
      <w:smallCaps/>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eastAsia="Arial"/>
      <w:sz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NarraCare — Final Technical Report</dc:title>
  <dc:subject>CA6124 healthcare recommender system</dc:subject>
  <dc:creator>NarraCare project team</dc:creator>
  <cp:keywords>SAPS, contextual bandit, tool-using agent, synthetic evaluation</cp:keywords>
  <dc:description>generated by python-docx</dc:description>
  <cp:lastModifiedBy/>
  <cp:revision>1</cp:revision>
  <dcterms:created xsi:type="dcterms:W3CDTF">2013-12-23T23:15:00Z</dcterms:created>
  <dcterms:modified xsi:type="dcterms:W3CDTF">2013-12-23T23:15:00Z</dcterms:modified>
  <cp:category/>
</cp:coreProperties>
</file>