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</w:pPr>
      <w:r>
        <w:rPr>
          <w:rFonts w:ascii="微软雅黑" w:hAnsi="微软雅黑" w:eastAsia="微软雅黑"/>
          <w:b/>
          <w:i w:val="0"/>
          <w:color w:val="2E5496"/>
          <w:sz w:val="20"/>
        </w:rPr>
        <w:t>v1 设计方案 · 03</w:t>
      </w:r>
    </w:p>
    <w:p>
      <w:pPr>
        <w:spacing w:before="360" w:after="120"/>
        <w:pBdr>
          <w:bottom w:val="single" w:sz="12" w:space="10" w:color="1F3864"/>
        </w:pBdr>
      </w:pPr>
      <w:r>
        <w:rPr>
          <w:rFonts w:ascii="微软雅黑" w:hAnsi="微软雅黑" w:eastAsia="微软雅黑"/>
          <w:b/>
          <w:i w:val="0"/>
          <w:color w:val="1F3864"/>
          <w:sz w:val="52"/>
        </w:rPr>
        <w:t>展商咨询工单处理流程图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595959"/>
          <w:sz w:val="26"/>
        </w:rPr>
        <w:t>现状流程 · 数智化转型后流程 · 总体架构</w:t>
      </w:r>
    </w:p>
    <w:p/>
    <w:p/>
    <w:tbl>
      <w:tblPr>
        <w:jc w:val="center"/>
        <w:tblLook w:firstColumn="1" w:firstRow="1" w:lastColumn="0" w:lastRow="0" w:noHBand="0" w:noVBand="1" w:val="04A0"/>
        <w:tblLayout w:type="fixed"/>
        <w:tblW w:type="dxa" w:w="8390"/>
      </w:tblPr>
      <w:tblGrid>
        <w:gridCol w:w="2381"/>
        <w:gridCol w:w="6009"/>
      </w:tblGrid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文档编号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v1-FC-001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版本 / 日期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v1.0 / 2026-10-23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对应工具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expo-trace 0.1.0（只读试点）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图幅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现状 1 张、转型后 1 张、总体架构 1 张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数据性质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合成访谈样本；人物与指标均为虚构</w:t>
            </w:r>
          </w:p>
        </w:tc>
      </w:tr>
    </w:tbl>
    <w:p/>
    <w:p/>
    <w:tbl>
      <w:tblPr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8617"/>
      </w:tblGrid>
      <w:tr>
        <w:tc>
          <w:tcPr>
            <w:tcW w:type="dxa" w:w="8617"/>
            <w:shd w:fill="F7F9FC"/>
            <w:tcBorders>
              <w:top w:val="single" w:sz="4" w:color="C9D3E3"/>
              <w:bottom w:val="single" w:sz="4" w:color="C9D3E3"/>
              <w:left w:val="single" w:sz="4" w:color="C9D3E3"/>
              <w:right w:val="single" w:sz="4" w:color="C9D3E3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说明：三张图用于对齐“现状哪里断、转型后谁来做、系统边界在哪里”。图中环节编号与《业务挖掘报告》一致；现状图保留人工兜底与三套工具，转型后图把可判定的部分交给系统、把不可逆动作留给人。</w:t>
            </w:r>
          </w:p>
        </w:tc>
      </w:tr>
    </w:tbl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一、读图说明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三张图回答三个不同问题：现状图回答“今天卡在哪里”，转型后图回答“系统做什么、人做什么”，总体架构图回答“这些能力放在哪一层、边界在哪里”。建议按顺序阅读，先看断点，再看分工，最后看架构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　图元说明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745"/>
        <w:gridCol w:w="2836"/>
        <w:gridCol w:w="4036"/>
      </w:tblGrid>
      <w:tr>
        <w:trPr>
          <w:tblHeader w:val="true"/>
        </w:trPr>
        <w:tc>
          <w:tcPr>
            <w:tcW w:type="dxa" w:w="174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图元</w:t>
            </w:r>
          </w:p>
        </w:tc>
        <w:tc>
          <w:tcPr>
            <w:tcW w:type="dxa" w:w="283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含义</w:t>
            </w:r>
          </w:p>
        </w:tc>
        <w:tc>
          <w:tcPr>
            <w:tcW w:type="dxa" w:w="403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阅读提示</w:t>
            </w:r>
          </w:p>
        </w:tc>
      </w:tr>
      <w:tr>
        <w:tc>
          <w:tcPr>
            <w:tcW w:type="dxa" w:w="1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蓝色矩形</w:t>
            </w:r>
          </w:p>
        </w:tc>
        <w:tc>
          <w:tcPr>
            <w:tcW w:type="dxa" w:w="28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处理步骤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编号 ①–⑧ 与业务挖掘报告一致；括号内为关键动作</w:t>
            </w:r>
          </w:p>
        </w:tc>
      </w:tr>
      <w:tr>
        <w:tc>
          <w:tcPr>
            <w:tcW w:type="dxa" w:w="1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黄色菱形</w:t>
            </w:r>
          </w:p>
        </w:tc>
        <w:tc>
          <w:tcPr>
            <w:tcW w:type="dxa" w:w="28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判断点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只有“是/否”两个出口；否出口一律进入兜底，不允许跳过</w:t>
            </w:r>
          </w:p>
        </w:tc>
      </w:tr>
      <w:tr>
        <w:tc>
          <w:tcPr>
            <w:tcW w:type="dxa" w:w="1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红色矩形</w:t>
            </w:r>
          </w:p>
        </w:tc>
        <w:tc>
          <w:tcPr>
            <w:tcW w:type="dxa" w:w="28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兜底 / 人工队列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进入后必须有责任人、原因码与截止时间</w:t>
            </w:r>
          </w:p>
        </w:tc>
      </w:tr>
      <w:tr>
        <w:tc>
          <w:tcPr>
            <w:tcW w:type="dxa" w:w="1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紫色虚线框</w:t>
            </w:r>
          </w:p>
        </w:tc>
        <w:tc>
          <w:tcPr>
            <w:tcW w:type="dxa" w:w="28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不可逆边界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框内动作不得自动对外；发布、收费、资格决定由人完成</w:t>
            </w:r>
          </w:p>
        </w:tc>
      </w:tr>
      <w:tr>
        <w:tc>
          <w:tcPr>
            <w:tcW w:type="dxa" w:w="1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红色虚线</w:t>
            </w:r>
          </w:p>
        </w:tc>
        <w:tc>
          <w:tcPr>
            <w:tcW w:type="dxa" w:w="28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回流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兜底处理完成后回到闭环，不直接回到对外回复</w:t>
            </w:r>
          </w:p>
        </w:tc>
      </w:tr>
      <w:tr>
        <w:tc>
          <w:tcPr>
            <w:tcW w:type="dxa" w:w="1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灰色注记</w:t>
            </w:r>
          </w:p>
        </w:tc>
        <w:tc>
          <w:tcPr>
            <w:tcW w:type="dxa" w:w="28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现状痛点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左侧标注对应证据编号（f10/f11/f13/f30/f52）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图中的“版本”指一份带有效期与确认状态的规则/通知，而不是一个文件。这一点是全部流程的前提：只要还把文件当版本，文件名就会继续替代有效期，旧通知就会继续被引用。</w:t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二、现状流程图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现状流程共 8 个环节、2 个判断点。判断点本身是存在的——一线人员每天都在心里判断“这版通知还有效吗”“这个字段填了吗”——但判断依据留在个人经验里，没有留下可复核的记录。两个兜底（版本不可定位、来源不完整）在现实中靠“问一下”“先按上次的办”完成，既不进队列，也没有责任人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7397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现状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739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图 1　展商咨询工单处理流程（现状）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2.1 八个环节与留痕断点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　现状八环节与留痕断点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6"/>
      </w:tblPr>
      <w:tblGrid>
        <w:gridCol w:w="1641"/>
        <w:gridCol w:w="2872"/>
        <w:gridCol w:w="2975"/>
        <w:gridCol w:w="1128"/>
      </w:tblGrid>
      <w:tr>
        <w:trPr>
          <w:tblHeader w:val="true"/>
        </w:trPr>
        <w:tc>
          <w:tcPr>
            <w:tcW w:type="dxa" w:w="164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环节</w:t>
            </w:r>
          </w:p>
        </w:tc>
        <w:tc>
          <w:tcPr>
            <w:tcW w:type="dxa" w:w="287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现状动作</w:t>
            </w:r>
          </w:p>
        </w:tc>
        <w:tc>
          <w:tcPr>
            <w:tcW w:type="dxa" w:w="297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留痕断点</w:t>
            </w:r>
          </w:p>
        </w:tc>
        <w:tc>
          <w:tcPr>
            <w:tcW w:type="dxa" w:w="11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证据</w:t>
            </w:r>
          </w:p>
        </w:tc>
      </w:tr>
      <w:tr>
        <w:tc>
          <w:tcPr>
            <w:tcW w:type="dxa" w:w="16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① 接收登记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电话/邮件/微信进线，登记展商、批次、类别、接收人</w:t>
            </w:r>
          </w:p>
        </w:tc>
        <w:tc>
          <w:tcPr>
            <w:tcW w:type="dxa" w:w="2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回填时间被当作发生时间；登记字段靠自觉</w:t>
            </w:r>
          </w:p>
        </w:tc>
        <w:tc>
          <w:tcPr>
            <w:tcW w:type="dxa" w:w="11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f13</w:t>
            </w:r>
          </w:p>
        </w:tc>
      </w:tr>
      <w:tr>
        <w:tc>
          <w:tcPr>
            <w:tcW w:type="dxa" w:w="16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② 问题分类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按费用/资格/时间/展位人工分类</w:t>
            </w:r>
          </w:p>
        </w:tc>
        <w:tc>
          <w:tcPr>
            <w:tcW w:type="dxa" w:w="2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分类口径不统一，同一问题分到不同人</w:t>
            </w:r>
          </w:p>
        </w:tc>
        <w:tc>
          <w:tcPr>
            <w:tcW w:type="dxa" w:w="11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f20</w:t>
            </w:r>
          </w:p>
        </w:tc>
      </w:tr>
      <w:tr>
        <w:tc>
          <w:tcPr>
            <w:tcW w:type="dxa" w:w="16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③ 版本检索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翻文件库、搜群记录、问老同事</w:t>
            </w:r>
          </w:p>
        </w:tc>
        <w:tc>
          <w:tcPr>
            <w:tcW w:type="dxa" w:w="2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以文件名判断新旧，旧通知仍被引用</w:t>
            </w:r>
          </w:p>
        </w:tc>
        <w:tc>
          <w:tcPr>
            <w:tcW w:type="dxa" w:w="11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f10/f11</w:t>
            </w:r>
          </w:p>
        </w:tc>
      </w:tr>
      <w:tr>
        <w:tc>
          <w:tcPr>
            <w:tcW w:type="dxa" w:w="16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◇ 版本判断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心里判断“这版还有效吗”</w:t>
            </w:r>
          </w:p>
        </w:tc>
        <w:tc>
          <w:tcPr>
            <w:tcW w:type="dxa" w:w="2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判断不留痕，无法复核</w:t>
            </w:r>
          </w:p>
        </w:tc>
        <w:tc>
          <w:tcPr>
            <w:tcW w:type="dxa" w:w="11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f24</w:t>
            </w:r>
          </w:p>
        </w:tc>
      </w:tr>
      <w:tr>
        <w:tc>
          <w:tcPr>
            <w:tcW w:type="dxa" w:w="16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④ 转派交接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群消息 @ 下一环节，口头说明</w:t>
            </w:r>
          </w:p>
        </w:tc>
        <w:tc>
          <w:tcPr>
            <w:tcW w:type="dxa" w:w="2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只留一句“已处理”，无版本与未结项</w:t>
            </w:r>
          </w:p>
        </w:tc>
        <w:tc>
          <w:tcPr>
            <w:tcW w:type="dxa" w:w="11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f20</w:t>
            </w:r>
          </w:p>
        </w:tc>
      </w:tr>
      <w:tr>
        <w:tc>
          <w:tcPr>
            <w:tcW w:type="dxa" w:w="16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⑤ 生成草稿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复制旧答复，改日期与金额</w:t>
            </w:r>
          </w:p>
        </w:tc>
        <w:tc>
          <w:tcPr>
            <w:tcW w:type="dxa" w:w="2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旧口径被整段复制，未确认项未标注</w:t>
            </w:r>
          </w:p>
        </w:tc>
        <w:tc>
          <w:tcPr>
            <w:tcW w:type="dxa" w:w="11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f10</w:t>
            </w:r>
          </w:p>
        </w:tc>
      </w:tr>
      <w:tr>
        <w:tc>
          <w:tcPr>
            <w:tcW w:type="dxa" w:w="16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◇ 来源判断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凭经验判断“应该没问题”</w:t>
            </w:r>
          </w:p>
        </w:tc>
        <w:tc>
          <w:tcPr>
            <w:tcW w:type="dxa" w:w="2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来源不完整也继续处理</w:t>
            </w:r>
          </w:p>
        </w:tc>
        <w:tc>
          <w:tcPr>
            <w:tcW w:type="dxa" w:w="11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f40</w:t>
            </w:r>
          </w:p>
        </w:tc>
      </w:tr>
      <w:tr>
        <w:tc>
          <w:tcPr>
            <w:tcW w:type="dxa" w:w="16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⑥ 回复审核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主管口头确认或直接发出</w:t>
            </w:r>
          </w:p>
        </w:tc>
        <w:tc>
          <w:tcPr>
            <w:tcW w:type="dxa" w:w="2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无确认记录，模型/个人无审批边界</w:t>
            </w:r>
          </w:p>
        </w:tc>
        <w:tc>
          <w:tcPr>
            <w:tcW w:type="dxa" w:w="11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f22</w:t>
            </w:r>
          </w:p>
        </w:tc>
      </w:tr>
      <w:tr>
        <w:tc>
          <w:tcPr>
            <w:tcW w:type="dxa" w:w="16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⑦ 对外回复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微信/邮件发出</w:t>
            </w:r>
          </w:p>
        </w:tc>
        <w:tc>
          <w:tcPr>
            <w:tcW w:type="dxa" w:w="2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发出后无法撤回，收费与资格口径风险最高</w:t>
            </w:r>
          </w:p>
        </w:tc>
        <w:tc>
          <w:tcPr>
            <w:tcW w:type="dxa" w:w="11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f52</w:t>
            </w:r>
          </w:p>
        </w:tc>
      </w:tr>
      <w:tr>
        <w:tc>
          <w:tcPr>
            <w:tcW w:type="dxa" w:w="16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⑧ 闭环复盘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月度汇总，人工比对三套系统</w:t>
            </w:r>
          </w:p>
        </w:tc>
        <w:tc>
          <w:tcPr>
            <w:tcW w:type="dxa" w:w="2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工单无统一编号，数量与状态对不上</w:t>
            </w:r>
          </w:p>
        </w:tc>
        <w:tc>
          <w:tcPr>
            <w:tcW w:type="dxa" w:w="11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f30/f53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2.2 三套工具与一条暗线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内部服务台、业务台账、文件库三套工具各自有编号体系，工单在系统之间靠人工比对。真正的处理过程发生在群消息与个人表格里，系统里留下的是事后补录的结果。这条“暗线”让时间、版本、责任三个维度同时失真：回填时间不是发生时间，附件名不是版本，群里的“已处理”不是责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F7F9FC"/>
            <w:tcBorders>
              <w:top w:val="single" w:sz="4" w:color="C9D3E3"/>
              <w:bottom w:val="single" w:sz="4" w:color="C9D3E3"/>
              <w:left w:val="single" w:sz="4" w:color="C9D3E3"/>
              <w:right w:val="single" w:sz="4" w:color="C9D3E3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现状图最值得注意的一处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两个判断点都没有“记录判断依据”的动作。也就是说，即使某次判断是对的，也无法证明；一旦判断错了，也无法定位是规则错、版本错还是执行错。v1 的第一价值不是提速，而是把这两个判断变成可复核的记录。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三、数智化转型后流程图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转型后仍是 8 个环节，但每一步都多了“由谁做、依据什么、留下什么”。系统承担可判定的部分（受理、分类、版本判定、草稿、审计），人承担不可逆的部分（确认、对外发送、暂停）。两个判断点的“否”出口不再回到个人经验，而是进入带原因码、责任人与截止时间的人工队列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7427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智化转型后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7427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图 2　展商咨询工单处理流程（数智化转型后）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3.1 与现状的七个差异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3　现状与转型后的差异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436"/>
        <w:gridCol w:w="2565"/>
        <w:gridCol w:w="3283"/>
        <w:gridCol w:w="1334"/>
      </w:tblGrid>
      <w:tr>
        <w:trPr>
          <w:tblHeader w:val="true"/>
        </w:trPr>
        <w:tc>
          <w:tcPr>
            <w:tcW w:type="dxa" w:w="143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维度</w:t>
            </w:r>
          </w:p>
        </w:tc>
        <w:tc>
          <w:tcPr>
            <w:tcW w:type="dxa" w:w="256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现状</w:t>
            </w:r>
          </w:p>
        </w:tc>
        <w:tc>
          <w:tcPr>
            <w:tcW w:type="dxa" w:w="328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转型后</w:t>
            </w:r>
          </w:p>
        </w:tc>
        <w:tc>
          <w:tcPr>
            <w:tcW w:type="dxa" w:w="133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对应需求</w:t>
            </w:r>
          </w:p>
        </w:tc>
      </w:tr>
      <w:tr>
        <w:tc>
          <w:tcPr>
            <w:tcW w:type="dxa" w:w="14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统一编号</w:t>
            </w:r>
          </w:p>
        </w:tc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三套系统各编各的，靠人工比对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工单/批次/类别/规则生效日统一关联编号</w:t>
            </w:r>
          </w:p>
        </w:tc>
        <w:tc>
          <w:tcPr>
            <w:tcW w:type="dxa" w:w="13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REQ-2</w:t>
            </w:r>
          </w:p>
        </w:tc>
      </w:tr>
      <w:tr>
        <w:tc>
          <w:tcPr>
            <w:tcW w:type="dxa" w:w="14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时间</w:t>
            </w:r>
          </w:p>
        </w:tc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只有回填时间，发生时间靠回忆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业务发生时间 + 系统接收时间双时间戳，超阈值标记</w:t>
            </w:r>
          </w:p>
        </w:tc>
        <w:tc>
          <w:tcPr>
            <w:tcW w:type="dxa" w:w="13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REQ-3</w:t>
            </w:r>
          </w:p>
        </w:tc>
      </w:tr>
      <w:tr>
        <w:tc>
          <w:tcPr>
            <w:tcW w:type="dxa" w:w="14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</w:t>
            </w:r>
          </w:p>
        </w:tc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看文件名、问老同事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有效期 + 确认状态 + 版本链，文件名不参与判定</w:t>
            </w:r>
          </w:p>
        </w:tc>
        <w:tc>
          <w:tcPr>
            <w:tcW w:type="dxa" w:w="13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REQ-1</w:t>
            </w:r>
          </w:p>
        </w:tc>
      </w:tr>
      <w:tr>
        <w:tc>
          <w:tcPr>
            <w:tcW w:type="dxa" w:w="14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</w:t>
            </w:r>
          </w:p>
        </w:tc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群消息 + 口头说明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交接单：版本、未确认项、责任人、截止时间</w:t>
            </w:r>
          </w:p>
        </w:tc>
        <w:tc>
          <w:tcPr>
            <w:tcW w:type="dxa" w:w="13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REQ-2</w:t>
            </w:r>
          </w:p>
        </w:tc>
      </w:tr>
      <w:tr>
        <w:tc>
          <w:tcPr>
            <w:tcW w:type="dxa" w:w="14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</w:t>
            </w:r>
          </w:p>
        </w:tc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复制旧答复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固定水印 + 来源引用 + 已排除版本 + 禁止动作</w:t>
            </w:r>
          </w:p>
        </w:tc>
        <w:tc>
          <w:tcPr>
            <w:tcW w:type="dxa" w:w="13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REQ-6</w:t>
            </w:r>
          </w:p>
        </w:tc>
      </w:tr>
      <w:tr>
        <w:tc>
          <w:tcPr>
            <w:tcW w:type="dxa" w:w="14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</w:t>
            </w:r>
          </w:p>
        </w:tc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口头确认或直接发出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四项确认 + 确认人/时间/版本留痕</w:t>
            </w:r>
          </w:p>
        </w:tc>
        <w:tc>
          <w:tcPr>
            <w:tcW w:type="dxa" w:w="13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REQ-6</w:t>
            </w:r>
          </w:p>
        </w:tc>
      </w:tr>
      <w:tr>
        <w:tc>
          <w:tcPr>
            <w:tcW w:type="dxa" w:w="14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复盘</w:t>
            </w:r>
          </w:p>
        </w:tc>
        <w:tc>
          <w:tcPr>
            <w:tcW w:type="dxa" w:w="25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月度人工汇总</w:t>
            </w:r>
          </w:p>
        </w:tc>
        <w:tc>
          <w:tcPr>
            <w:tcW w:type="dxa" w:w="32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三项指标并列 + 误报/漏报登记 + 审计只读导出</w:t>
            </w:r>
          </w:p>
        </w:tc>
        <w:tc>
          <w:tcPr>
            <w:tcW w:type="dxa" w:w="133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REQ-5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3.2 失败路径：不默认通过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转型后图特意保留了两个红色兜底框，并让它们都指向人工队列而不是“继续”。这是设计上的硬约束：版本无法定位、关键字段缺失、来源不完整、授权范围不符，任何一种情况都不得生成可对外内容，只能生成待复核材料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4　失败路径与责任归属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154"/>
        <w:gridCol w:w="2529"/>
        <w:gridCol w:w="2154"/>
        <w:gridCol w:w="1780"/>
      </w:tblGrid>
      <w:tr>
        <w:trPr>
          <w:tblHeader w:val="true"/>
        </w:trPr>
        <w:tc>
          <w:tcPr>
            <w:tcW w:type="dxa" w:w="215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失败情形</w:t>
            </w:r>
          </w:p>
        </w:tc>
        <w:tc>
          <w:tcPr>
            <w:tcW w:type="dxa" w:w="252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系统动作</w:t>
            </w:r>
          </w:p>
        </w:tc>
        <w:tc>
          <w:tcPr>
            <w:tcW w:type="dxa" w:w="215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人工动作</w:t>
            </w:r>
          </w:p>
        </w:tc>
        <w:tc>
          <w:tcPr>
            <w:tcW w:type="dxa" w:w="178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留痕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版本不可定位 / 冲突 / 链断</w:t>
            </w:r>
          </w:p>
        </w:tc>
        <w:tc>
          <w:tcPr>
            <w:tcW w:type="dxa" w:w="25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不生成正文，列出已核查版本与原因码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流程协调员或审核方判定，必要时暂停</w:t>
            </w:r>
          </w:p>
        </w:tc>
        <w:tc>
          <w:tcPr>
            <w:tcW w:type="dxa" w:w="17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reason_code + 确认记录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关键字段缺失或未确认</w:t>
            </w:r>
          </w:p>
        </w:tc>
        <w:tc>
          <w:tcPr>
            <w:tcW w:type="dxa" w:w="25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标记缺失/未确认，不补默认值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一线补齐或审核方确认</w:t>
            </w:r>
          </w:p>
        </w:tc>
        <w:tc>
          <w:tcPr>
            <w:tcW w:type="dxa" w:w="17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字段级状态 + 原行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来源不完整 / 授权不清</w:t>
            </w:r>
          </w:p>
        </w:tc>
        <w:tc>
          <w:tcPr>
            <w:tcW w:type="dxa" w:w="25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拒绝出草稿，转人工复核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数字化工程师核对来源与授权</w:t>
            </w:r>
          </w:p>
        </w:tc>
        <w:tc>
          <w:tcPr>
            <w:tcW w:type="dxa" w:w="17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manifest + 复核记录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收费 / 资格类问题</w:t>
            </w:r>
          </w:p>
        </w:tc>
        <w:tc>
          <w:tcPr>
            <w:tcW w:type="dxa" w:w="25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生成草稿但标记不可对外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业务负责人或审核方确认口径</w:t>
            </w:r>
          </w:p>
        </w:tc>
        <w:tc>
          <w:tcPr>
            <w:tcW w:type="dxa" w:w="17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授权人 + 版本 + 时间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试点暂停</w:t>
            </w:r>
          </w:p>
        </w:tc>
        <w:tc>
          <w:tcPr>
            <w:tcW w:type="dxa" w:w="25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停止生成草稿，全部转人工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审核方决定恢复时机</w:t>
            </w:r>
          </w:p>
        </w:tc>
        <w:tc>
          <w:tcPr>
            <w:tcW w:type="dxa" w:w="17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暂停人 + 原因 + 时间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四、总体架构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总体架构分四层：接入层只读，领域服务层做可解释的判定与草稿，人工协同层承担确认与暂停，审计与报表层只增不改。右侧的“边界与权限”是横切约束，不放在任何一层内部，避免被某一层的实现细节绕过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4096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体架构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09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图 3　展商咨询工单版本追溯平台总体架构（v1）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5　四层职责与约束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831"/>
        <w:gridCol w:w="3878"/>
        <w:gridCol w:w="2908"/>
      </w:tblGrid>
      <w:tr>
        <w:trPr>
          <w:tblHeader w:val="true"/>
        </w:trPr>
        <w:tc>
          <w:tcPr>
            <w:tcW w:type="dxa" w:w="183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层</w:t>
            </w:r>
          </w:p>
        </w:tc>
        <w:tc>
          <w:tcPr>
            <w:tcW w:type="dxa" w:w="387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职责</w:t>
            </w:r>
          </w:p>
        </w:tc>
        <w:tc>
          <w:tcPr>
            <w:tcW w:type="dxa" w:w="290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关键约束</w:t>
            </w:r>
          </w:p>
        </w:tc>
      </w:tr>
      <w:tr>
        <w:tc>
          <w:tcPr>
            <w:tcW w:type="dxa" w:w="18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接入层</w:t>
            </w:r>
          </w:p>
        </w:tc>
        <w:tc>
          <w:tcPr>
            <w:tcW w:type="dxa" w:w="38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只读导出、字段映射、批次白名单、可选只读接口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不写回、不订阅、不持有长期凭据</w:t>
            </w:r>
          </w:p>
        </w:tc>
      </w:tr>
      <w:tr>
        <w:tc>
          <w:tcPr>
            <w:tcW w:type="dxa" w:w="18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领域服务层</w:t>
            </w:r>
          </w:p>
        </w:tc>
        <w:tc>
          <w:tcPr>
            <w:tcW w:type="dxa" w:w="38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受理编号、规则分类、版本判定、交接单/草稿、四项校验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判定可解释；不调用外部模型也可运行</w:t>
            </w:r>
          </w:p>
        </w:tc>
      </w:tr>
      <w:tr>
        <w:tc>
          <w:tcPr>
            <w:tcW w:type="dxa" w:w="18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人工协同层</w:t>
            </w:r>
          </w:p>
        </w:tc>
        <w:tc>
          <w:tcPr>
            <w:tcW w:type="dxa" w:w="38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人工队列、四眼确认、暂停开关、误报/漏报登记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确认是授权人的动作，系统只记录</w:t>
            </w:r>
          </w:p>
        </w:tc>
      </w:tr>
      <w:tr>
        <w:tc>
          <w:tcPr>
            <w:tcW w:type="dxa" w:w="18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审计与报表层</w:t>
            </w:r>
          </w:p>
        </w:tc>
        <w:tc>
          <w:tcPr>
            <w:tcW w:type="dxa" w:w="387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哈希链、三项指标、周报与抽查、审计只读导出</w:t>
            </w:r>
          </w:p>
        </w:tc>
        <w:tc>
          <w:tcPr>
            <w:tcW w:type="dxa" w:w="29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只增不改；链断可定位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附录 A　Mermaid 源码（可编辑）</w:t>
      </w:r>
    </w:p>
    <w:p>
      <w:pPr>
        <w:spacing w:line="348" w:lineRule="auto"/>
        <w:ind w:firstLine="380"/>
        <w:jc w:val="both"/>
      </w:pPr>
      <w:r>
        <w:rPr>
          <w:rFonts w:ascii="宋体" w:hAnsi="宋体" w:eastAsia="宋体"/>
          <w:b w:val="0"/>
          <w:i w:val="0"/>
          <w:sz w:val="19"/>
        </w:rPr>
        <w:t>以下源码与 PNG 图对应，可直接粘贴到支持 Mermaid 的编辑器（GitHub、Typora、VS Code）修改。完整版见仓库 docs/flowchart.md。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A.1 现状流程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>flowchart TD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S([开始：展商咨询进入]) --&gt; A[① 咨询接收与登记]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A --&gt; B[② 问题分类]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B --&gt; C[③ 政策版本检索&lt;br/&gt;有效期 + 确认状态]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C --&gt; D{版本可定位且已确认？}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D -- 否 --&gt; F1[兜底 A：标记异常 / 保留原值 / 转人工队列]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D -- 是 --&gt; E[④ 转派与交接]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E --&gt; G[⑤ 生成回复草稿&lt;br/&gt;固定“未确认 · 不可对外”]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G --&gt; H{关键字段完整、来源可追溯？}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H -- 否 --&gt; F2[兜底 B：转人工复核 / 不默认通过]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H -- 是 --&gt; I[⑥ 回复审核（人工确认）]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I --&gt; J[⑦ 对外回复（人工发出）]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J --&gt; K[⑧ 闭环与复盘]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K --&gt; T([结束])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F1 -. 确认后回流 .-&gt; K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F2 -. 确认后回流 .-&gt; K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A.2 转型后流程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>flowchart TD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S([开始：统一受理入口 / 单批次白名单]) --&gt; A[① 统一受理与登记&lt;br/&gt;只读导出 · 双时间戳 · 统一编号]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A --&gt; B[② 规则分类]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B --&gt; C[③ 版本判定服务&lt;br/&gt;有效期 + 确认 + 版本链]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C --&gt; D{可定位且已确认？}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D -- 否 --&gt; Q[人工队列：原因码 · 责任人 · SLA · 暂停开关]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D -- 是 --&gt; E[④ 交接单自动生成]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E --&gt; G[⑤ 草稿生成&lt;br/&gt;水印 + 来源引用 + 已排除版本]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G --&gt; H{字段完整 / 来源可追溯 / 授权相符？}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H -- 否 --&gt; R[人工复核：补齐字段 / 确认授权]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H -- 是 --&gt; I[⑥ 人工四眼确认]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I --&gt; J[⑦ 人工对外发送&lt;br/&gt;系统不发送任何外部消息]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J --&gt; K[⑧ 审计与周报&lt;br/&gt;哈希链 · 三项指标]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K --&gt; T([结束])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Q -. 确认后回流 .-&gt; K</w:t>
      </w:r>
    </w:p>
    <w:p>
      <w:pPr>
        <w:spacing w:after="0" w:line="252" w:lineRule="auto"/>
        <w:ind w:left="200"/>
        <w:shd w:val="clear" w:fill="F4F6FA"/>
      </w:pPr>
      <w:r>
        <w:rPr>
          <w:rFonts w:ascii="Consolas" w:hAnsi="Consolas" w:eastAsia="Consolas"/>
          <w:b w:val="0"/>
          <w:i w:val="0"/>
          <w:color w:val="595959"/>
          <w:sz w:val="16"/>
        </w:rPr>
        <w:t xml:space="preserve">  R -. 确认后回流 .-&gt; K</w:t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附录 B　图片文件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6　图片清单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3535"/>
        <w:gridCol w:w="2320"/>
        <w:gridCol w:w="2762"/>
      </w:tblGrid>
      <w:tr>
        <w:trPr>
          <w:tblHeader w:val="true"/>
        </w:trPr>
        <w:tc>
          <w:tcPr>
            <w:tcW w:type="dxa" w:w="353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文件</w:t>
            </w:r>
          </w:p>
        </w:tc>
        <w:tc>
          <w:tcPr>
            <w:tcW w:type="dxa" w:w="232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尺寸</w:t>
            </w:r>
          </w:p>
        </w:tc>
        <w:tc>
          <w:tcPr>
            <w:tcW w:type="dxa" w:w="276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用途</w:t>
            </w:r>
          </w:p>
        </w:tc>
      </w:tr>
      <w:tr>
        <w:tc>
          <w:tcPr>
            <w:tcW w:type="dxa" w:w="35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03-图表/现状流程图.png</w:t>
            </w:r>
          </w:p>
        </w:tc>
        <w:tc>
          <w:tcPr>
            <w:tcW w:type="dxa" w:w="23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1700 × 2460</w:t>
            </w:r>
          </w:p>
        </w:tc>
        <w:tc>
          <w:tcPr>
            <w:tcW w:type="dxa" w:w="2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现状培训、问题定位</w:t>
            </w:r>
          </w:p>
        </w:tc>
      </w:tr>
      <w:tr>
        <w:tc>
          <w:tcPr>
            <w:tcW w:type="dxa" w:w="35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03-图表/数智化转型后流程图.png</w:t>
            </w:r>
          </w:p>
        </w:tc>
        <w:tc>
          <w:tcPr>
            <w:tcW w:type="dxa" w:w="23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1700 × 2470</w:t>
            </w:r>
          </w:p>
        </w:tc>
        <w:tc>
          <w:tcPr>
            <w:tcW w:type="dxa" w:w="2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方案宣讲、开发对齐</w:t>
            </w:r>
          </w:p>
        </w:tc>
      </w:tr>
      <w:tr>
        <w:tc>
          <w:tcPr>
            <w:tcW w:type="dxa" w:w="35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03-图表/总体架构图.png</w:t>
            </w:r>
          </w:p>
        </w:tc>
        <w:tc>
          <w:tcPr>
            <w:tcW w:type="dxa" w:w="232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1700 × 1240</w:t>
            </w:r>
          </w:p>
        </w:tc>
        <w:tc>
          <w:tcPr>
            <w:tcW w:type="dxa" w:w="2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架构评审、部署说明</w:t>
            </w:r>
          </w:p>
        </w:tc>
      </w:tr>
    </w:tbl>
    <w:p>
      <w:pPr>
        <w:spacing w:after="40"/>
      </w:pPr>
    </w:p>
    <w:p>
      <w:pPr>
        <w:spacing w:line="348" w:lineRule="auto"/>
        <w:ind w:firstLine="360"/>
        <w:jc w:val="both"/>
      </w:pPr>
      <w:r>
        <w:rPr>
          <w:rFonts w:ascii="宋体" w:hAnsi="宋体" w:eastAsia="宋体"/>
          <w:b w:val="0"/>
          <w:i w:val="0"/>
          <w:color w:val="595959"/>
          <w:sz w:val="18"/>
        </w:rPr>
        <w:t>三张图均为矢量绘制脚本输出的高分辨率 PNG，可随文档一起归档；修改时优先改脚本或 Mermaid 源码，避免直接拉伸图片。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247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7"/>
      </w:rPr>
      <w:t xml:space="preserve">第 </w:t>
    </w:r>
    <w:r>
      <w:rPr>
        <w:rFonts w:ascii="宋体" w:hAnsi="宋体" w:eastAsia="宋体"/>
        <w:b w:val="0"/>
        <w:i w:val="0"/>
        <w:color w:val="59595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595959"/>
        <w:sz w:val="17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7F7F7F"/>
        <w:sz w:val="16"/>
      </w:rPr>
      <w:t>展商咨询工单版本追溯 · v1 设计方案　|　内部资料 · 合成样本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展商咨询工单处理流程图：现状与数智化转型后</dc:title>
  <dc:subject>v1 设计方案 · 流程图说明</dc:subject>
  <dc:creator>业务分析组</dc:creator>
  <cp:keywords/>
  <dc:description>v1 设计方案 · 合成样本数据 · 只读试点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