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</w:pPr>
      <w:r>
        <w:rPr>
          <w:rFonts w:ascii="微软雅黑" w:hAnsi="微软雅黑" w:eastAsia="微软雅黑"/>
          <w:b/>
          <w:i w:val="0"/>
          <w:color w:val="2E5496"/>
          <w:sz w:val="20"/>
        </w:rPr>
        <w:t>业 务 挖 掘 报 告　·　BUSINESS DISCOVERY</w:t>
      </w:r>
    </w:p>
    <w:p>
      <w:pPr>
        <w:spacing w:before="360" w:after="120"/>
        <w:pBdr>
          <w:bottom w:val="single" w:sz="12" w:space="10" w:color="1F3864"/>
        </w:pBdr>
      </w:pPr>
      <w:r>
        <w:rPr>
          <w:rFonts w:ascii="微软雅黑" w:hAnsi="微软雅黑" w:eastAsia="微软雅黑"/>
          <w:b/>
          <w:i w:val="0"/>
          <w:color w:val="1F3864"/>
          <w:sz w:val="52"/>
        </w:rPr>
        <w:t>展商咨询工单业务挖掘报告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595959"/>
          <w:sz w:val="26"/>
        </w:rPr>
        <w:t>从访谈事实到可试点的需求假设：版本、时间、编号与边界</w:t>
      </w:r>
    </w:p>
    <w:p/>
    <w:p/>
    <w:tbl>
      <w:tblPr>
        <w:jc w:val="center"/>
        <w:tblLook w:firstColumn="1" w:firstRow="1" w:lastColumn="0" w:lastRow="0" w:noHBand="0" w:noVBand="1" w:val="04A0"/>
        <w:tblLayout w:type="fixed"/>
        <w:tblW w:type="dxa" w:w="8390"/>
      </w:tblPr>
      <w:tblGrid>
        <w:gridCol w:w="2381"/>
        <w:gridCol w:w="6009"/>
      </w:tblGrid>
      <w:tr>
        <w:tc>
          <w:tcPr>
            <w:tcW w:type="dxa" w:w="23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微软雅黑" w:hAnsi="微软雅黑" w:eastAsia="微软雅黑"/>
                <w:b/>
                <w:i w:val="0"/>
                <w:color w:val="2E5496"/>
                <w:sz w:val="19"/>
              </w:rPr>
              <w:t>委托方</w:t>
            </w:r>
          </w:p>
        </w:tc>
        <w:tc>
          <w:tcPr>
            <w:tcW w:type="dxa" w:w="60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宋体" w:hAnsi="宋体" w:eastAsia="宋体"/>
                <w:b w:val="0"/>
                <w:i w:val="0"/>
                <w:color w:val="595959"/>
                <w:sz w:val="19"/>
              </w:rPr>
              <w:t>上海外经贸商务展览有限公司（案例设定）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微软雅黑" w:hAnsi="微软雅黑" w:eastAsia="微软雅黑"/>
                <w:b/>
                <w:i w:val="0"/>
                <w:color w:val="2E5496"/>
                <w:sz w:val="19"/>
              </w:rPr>
              <w:t>业务范围</w:t>
            </w:r>
          </w:p>
        </w:tc>
        <w:tc>
          <w:tcPr>
            <w:tcW w:type="dxa" w:w="60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宋体" w:hAnsi="宋体" w:eastAsia="宋体"/>
                <w:b w:val="0"/>
                <w:i w:val="0"/>
                <w:color w:val="595959"/>
                <w:sz w:val="19"/>
              </w:rPr>
              <w:t>展商咨询知识与服务转派 · 单批次 2026-S1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微软雅黑" w:hAnsi="微软雅黑" w:eastAsia="微软雅黑"/>
                <w:b/>
                <w:i w:val="0"/>
                <w:color w:val="2E5496"/>
                <w:sz w:val="19"/>
              </w:rPr>
              <w:t>文档编号</w:t>
            </w:r>
          </w:p>
        </w:tc>
        <w:tc>
          <w:tcPr>
            <w:tcW w:type="dxa" w:w="60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宋体" w:hAnsi="宋体" w:eastAsia="宋体"/>
                <w:b w:val="0"/>
                <w:i w:val="0"/>
                <w:color w:val="595959"/>
                <w:sz w:val="19"/>
              </w:rPr>
              <w:t>v1-BD-001　·　版本 v1.0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微软雅黑" w:hAnsi="微软雅黑" w:eastAsia="微软雅黑"/>
                <w:b/>
                <w:i w:val="0"/>
                <w:color w:val="2E5496"/>
                <w:sz w:val="19"/>
              </w:rPr>
              <w:t>编制</w:t>
            </w:r>
          </w:p>
        </w:tc>
        <w:tc>
          <w:tcPr>
            <w:tcW w:type="dxa" w:w="60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宋体" w:hAnsi="宋体" w:eastAsia="宋体"/>
                <w:b w:val="0"/>
                <w:i w:val="0"/>
                <w:color w:val="595959"/>
                <w:sz w:val="19"/>
              </w:rPr>
              <w:t>业务分析组（实验室系统生成 + 人工复核）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微软雅黑" w:hAnsi="微软雅黑" w:eastAsia="微软雅黑"/>
                <w:b/>
                <w:i w:val="0"/>
                <w:color w:val="2E5496"/>
                <w:sz w:val="19"/>
              </w:rPr>
              <w:t>日期</w:t>
            </w:r>
          </w:p>
        </w:tc>
        <w:tc>
          <w:tcPr>
            <w:tcW w:type="dxa" w:w="60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宋体" w:hAnsi="宋体" w:eastAsia="宋体"/>
                <w:b w:val="0"/>
                <w:i w:val="0"/>
                <w:color w:val="595959"/>
                <w:sz w:val="19"/>
              </w:rPr>
              <w:t>2026-10-23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微软雅黑" w:hAnsi="微软雅黑" w:eastAsia="微软雅黑"/>
                <w:b/>
                <w:i w:val="0"/>
                <w:color w:val="2E5496"/>
                <w:sz w:val="19"/>
              </w:rPr>
              <w:t>数据性质</w:t>
            </w:r>
          </w:p>
        </w:tc>
        <w:tc>
          <w:tcPr>
            <w:tcW w:type="dxa" w:w="60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tcBorders>
              <w:bottom w:val="single" w:sz="4" w:color="D9E2F3"/>
            </w:tcBorders>
          </w:tcPr>
          <w:p>
            <w:r>
              <w:rPr>
                <w:rFonts w:ascii="宋体" w:hAnsi="宋体" w:eastAsia="宋体"/>
                <w:b w:val="0"/>
                <w:i w:val="0"/>
                <w:color w:val="595959"/>
                <w:sz w:val="19"/>
              </w:rPr>
              <w:t>36 条合成访谈事实；人物、企业指标与业务问题均为虚构</w:t>
            </w:r>
          </w:p>
        </w:tc>
      </w:tr>
    </w:tbl>
    <w:p/>
    <w:p/>
    <w:tbl>
      <w:tblPr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8617"/>
      </w:tblGrid>
      <w:tr>
        <w:tc>
          <w:tcPr>
            <w:tcW w:type="dxa" w:w="8617"/>
            <w:shd w:fill="F7F9FC"/>
            <w:tcBorders>
              <w:top w:val="single" w:sz="4" w:color="C9D3E3"/>
              <w:bottom w:val="single" w:sz="4" w:color="C9D3E3"/>
              <w:left w:val="single" w:sz="4" w:color="C9D3E3"/>
              <w:right w:val="single" w:sz="4" w:color="C9D3E3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spacing w:line="324" w:lineRule="auto"/>
            </w:pPr>
            <w:r>
              <w:rPr>
                <w:rFonts w:ascii="宋体" w:hAnsi="宋体" w:eastAsia="宋体"/>
                <w:b w:val="0"/>
                <w:i w:val="0"/>
                <w:color w:val="595959"/>
                <w:sz w:val="18"/>
              </w:rPr>
              <w:t>本报告用于方法演示与试点评审，不构成对真实企业现状的结论。覆盖率 36/36 仅表示访谈提纲被逐条覆盖，不代表需求已被验证，也不代表验收通过。文中的 f 编号可回溯到 discovery-report.json 的原始访谈记录。</w:t>
            </w:r>
          </w:p>
        </w:tc>
      </w:tr>
    </w:tbl>
    <w:p>
      <w:r>
        <w:br w:type="page"/>
      </w: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一、挖掘目标与方法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本报告回答三个问题：展商咨询在现状下如何流转、在哪几个点最容易失真、哪些改动值得先用一个批次做只读试点。全部结论以“待验证假设”形式给出，并标注证据编号与验证动作。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1.1 挖掘目标</w:t>
      </w:r>
    </w:p>
    <w:p>
      <w:pPr>
        <w:spacing w:after="60" w:line="336" w:lineRule="auto"/>
        <w:ind w:left="425" w:hanging="255"/>
      </w:pPr>
      <w:r>
        <w:rPr>
          <w:rFonts w:ascii="宋体" w:hAnsi="宋体" w:eastAsia="宋体"/>
          <w:b w:val="0"/>
          <w:i w:val="0"/>
          <w:color w:val="2E5496"/>
          <w:sz w:val="21"/>
        </w:rPr>
        <w:t xml:space="preserve">• </w:t>
      </w:r>
      <w:r>
        <w:rPr>
          <w:rFonts w:ascii="宋体" w:hAnsi="宋体" w:eastAsia="宋体"/>
          <w:b w:val="0"/>
          <w:i w:val="0"/>
          <w:sz w:val="21"/>
        </w:rPr>
        <w:t>还原链路：把咨询从进线到闭环的每一次交接、判断与留痕说清楚，而不是只画一条理想流程。</w:t>
      </w:r>
    </w:p>
    <w:p>
      <w:pPr>
        <w:spacing w:after="60" w:line="336" w:lineRule="auto"/>
        <w:ind w:left="425" w:hanging="255"/>
      </w:pPr>
      <w:r>
        <w:rPr>
          <w:rFonts w:ascii="宋体" w:hAnsi="宋体" w:eastAsia="宋体"/>
          <w:b w:val="0"/>
          <w:i w:val="0"/>
          <w:color w:val="2E5496"/>
          <w:sz w:val="21"/>
        </w:rPr>
        <w:t xml:space="preserve">• </w:t>
      </w:r>
      <w:r>
        <w:rPr>
          <w:rFonts w:ascii="宋体" w:hAnsi="宋体" w:eastAsia="宋体"/>
          <w:b w:val="0"/>
          <w:i w:val="0"/>
          <w:sz w:val="21"/>
        </w:rPr>
        <w:t>定位断点：区分“人的疏忽”与“结构缺口”，只把后者写进需求；前者靠培训与抽查解决。</w:t>
      </w:r>
    </w:p>
    <w:p>
      <w:pPr>
        <w:spacing w:after="60" w:line="336" w:lineRule="auto"/>
        <w:ind w:left="425" w:hanging="255"/>
      </w:pPr>
      <w:r>
        <w:rPr>
          <w:rFonts w:ascii="宋体" w:hAnsi="宋体" w:eastAsia="宋体"/>
          <w:b w:val="0"/>
          <w:i w:val="0"/>
          <w:color w:val="2E5496"/>
          <w:sz w:val="21"/>
        </w:rPr>
        <w:t xml:space="preserve">• </w:t>
      </w:r>
      <w:r>
        <w:rPr>
          <w:rFonts w:ascii="宋体" w:hAnsi="宋体" w:eastAsia="宋体"/>
          <w:b w:val="0"/>
          <w:i w:val="0"/>
          <w:sz w:val="21"/>
        </w:rPr>
        <w:t>形成假设：每条需求都必须带证据、责任人和可执行的验收动作，避免“上个系统就好了”。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1.2 数据来源与生成方式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实验室系统读取 discovery-report.json 的 62 条访谈记录，按“流程—角色—系统与数据—风险与边界”四类框架抽取事实，合并同义表述后得到 36 条带编号的事实（f01–f55 中的有效子集），再生成六条需求假设草稿；业务分析组逐条复核，删除无法落到动作的表述，保留可被验证的部分。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1　数据来源与用途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1701"/>
        <w:gridCol w:w="4762"/>
        <w:gridCol w:w="2154"/>
      </w:tblGrid>
      <w:tr>
        <w:trPr>
          <w:tblHeader w:val="true"/>
        </w:trPr>
        <w:tc>
          <w:tcPr>
            <w:tcW w:type="dxa" w:w="1701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项目</w:t>
            </w:r>
          </w:p>
        </w:tc>
        <w:tc>
          <w:tcPr>
            <w:tcW w:type="dxa" w:w="4762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内容</w:t>
            </w:r>
          </w:p>
        </w:tc>
        <w:tc>
          <w:tcPr>
            <w:tcW w:type="dxa" w:w="2154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在报告中的用途</w:t>
            </w:r>
          </w:p>
        </w:tc>
      </w:tr>
      <w:tr>
        <w:tc>
          <w:tcPr>
            <w:tcW w:type="dxa" w:w="170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访谈记录</w:t>
            </w:r>
          </w:p>
        </w:tc>
        <w:tc>
          <w:tcPr>
            <w:tcW w:type="dxa" w:w="476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62 条，覆盖 6 个角色；提纲覆盖 36/36</w:t>
            </w:r>
          </w:p>
        </w:tc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事实抽取的原始语料</w:t>
            </w:r>
          </w:p>
        </w:tc>
      </w:tr>
      <w:tr>
        <w:tc>
          <w:tcPr>
            <w:tcW w:type="dxa" w:w="170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事实编号</w:t>
            </w:r>
          </w:p>
        </w:tc>
        <w:tc>
          <w:tcPr>
            <w:tcW w:type="dxa" w:w="476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f01–f55（含未使用编号），正文以 f 码引用</w:t>
            </w:r>
          </w:p>
        </w:tc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每个结论都可回溯，便于复核</w:t>
            </w:r>
          </w:p>
        </w:tc>
      </w:tr>
      <w:tr>
        <w:tc>
          <w:tcPr>
            <w:tcW w:type="dxa" w:w="170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角色</w:t>
            </w:r>
          </w:p>
        </w:tc>
        <w:tc>
          <w:tcPr>
            <w:tcW w:type="dxa" w:w="476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业务负责人、一线服务专员、项目流程协调员、数字化工程师、审核与质量负责人、客户协同代表</w:t>
            </w:r>
          </w:p>
        </w:tc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权责与视角差异分析</w:t>
            </w:r>
          </w:p>
        </w:tc>
      </w:tr>
      <w:tr>
        <w:tc>
          <w:tcPr>
            <w:tcW w:type="dxa" w:w="170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需求假设</w:t>
            </w:r>
          </w:p>
        </w:tc>
        <w:tc>
          <w:tcPr>
            <w:tcW w:type="dxa" w:w="476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6 条，均标注 P0/P1、负责人、证据与验收</w:t>
            </w:r>
          </w:p>
        </w:tc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第五章</w:t>
            </w:r>
          </w:p>
        </w:tc>
      </w:tr>
      <w:tr>
        <w:tc>
          <w:tcPr>
            <w:tcW w:type="dxa" w:w="170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证据缺口</w:t>
            </w:r>
          </w:p>
        </w:tc>
        <w:tc>
          <w:tcPr>
            <w:tcW w:type="dxa" w:w="476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旧版本占比、检索耗时、单量、快照保留期等均无真实统计</w:t>
            </w:r>
          </w:p>
        </w:tc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第八章，禁止外推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617"/>
            <w:shd w:fill="F7F9FC"/>
            <w:tcBorders>
              <w:top w:val="single" w:sz="4" w:color="C9D3E3"/>
              <w:bottom w:val="single" w:sz="4" w:color="C9D3E3"/>
              <w:left w:val="single" w:sz="4" w:color="C9D3E3"/>
              <w:right w:val="single" w:sz="4" w:color="C9D3E3"/>
            </w:tcBorders>
            <w:tcMar>
              <w:top w:w="140" w:type="dxa"/>
              <w:bottom w:w="140" w:type="dxa"/>
              <w:start w:w="170" w:type="dxa"/>
              <w:end w:w="170" w:type="dxa"/>
            </w:tcMar>
          </w:tcPr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20"/>
              </w:rPr>
              <w:t>关于“实验室系统生成”</w:t>
            </w:r>
          </w:p>
          <w:p>
            <w:pPr>
              <w:spacing w:after="20" w:line="324" w:lineRule="auto"/>
            </w:pPr>
            <w:r>
              <w:rPr>
                <w:rFonts w:ascii="宋体" w:hAnsi="宋体" w:eastAsia="宋体"/>
                <w:b w:val="0"/>
                <w:i w:val="0"/>
                <w:color w:val="595959"/>
                <w:sz w:val="18"/>
              </w:rPr>
              <w:t>生成链路：访谈记录 → 事实抽取（保留原话与编号）→ 主题聚类 → 假设草稿 → 人工复核定稿。</w:t>
            </w:r>
          </w:p>
          <w:p>
            <w:pPr>
              <w:spacing w:after="20" w:line="324" w:lineRule="auto"/>
            </w:pPr>
            <w:r>
              <w:rPr>
                <w:rFonts w:ascii="宋体" w:hAnsi="宋体" w:eastAsia="宋体"/>
                <w:b w:val="0"/>
                <w:i w:val="0"/>
                <w:color w:val="595959"/>
                <w:sz w:val="18"/>
              </w:rPr>
              <w:t>系统只做归纳与串联，不补造数字：凡缺少真实统计的地方，报告一律写“未核实”，不用估计值填充。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1.3 方法与局限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方法上采用半结构访谈 + 事实编码 + 反例检验：每条假设都要找到至少一个“现状下会出错”的具体场景，否则不进入需求清单。局限同样明确：样本为合成语料，没有工单系统导出，也没有时间与成本基线，因此本报告只能支持“值得试”，不能支持“一定有效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617"/>
            <w:shd w:fill="FDF3F3"/>
            <w:tcBorders>
              <w:top w:val="single" w:sz="4" w:color="E3B7B7"/>
              <w:bottom w:val="single" w:sz="4" w:color="E3B7B7"/>
              <w:left w:val="single" w:sz="4" w:color="E3B7B7"/>
              <w:right w:val="single" w:sz="4" w:color="E3B7B7"/>
            </w:tcBorders>
            <w:tcMar>
              <w:top w:w="140" w:type="dxa"/>
              <w:bottom w:w="140" w:type="dxa"/>
              <w:start w:w="170" w:type="dxa"/>
              <w:end w:w="170" w:type="dxa"/>
            </w:tcMar>
          </w:tcPr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i w:val="0"/>
                <w:color w:val="B23B3B"/>
                <w:sz w:val="20"/>
              </w:rPr>
              <w:t>读这份报告时需要记住的三件事</w:t>
            </w:r>
          </w:p>
          <w:p>
            <w:pPr>
              <w:spacing w:after="20" w:line="324" w:lineRule="auto"/>
            </w:pPr>
            <w:r>
              <w:rPr>
                <w:rFonts w:ascii="宋体" w:hAnsi="宋体" w:eastAsia="宋体"/>
                <w:b w:val="0"/>
                <w:i w:val="0"/>
                <w:color w:val="595959"/>
                <w:sz w:val="18"/>
              </w:rPr>
              <w:t>① 36/36 是访谈覆盖率，不是需求验证率；② f12 的“900 次咨询、55% 重复”是虚构样本，不得作为基线；③ 文中所有角色姓名与岗位均为演练设定，真实项目需重新确认责任人与授权范围。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二、业务全景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2.1 展商服务链路中的咨询工单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展会业务按时间可分为招展签约、参展准备、现场服务、展后跟进四段。展商咨询贯穿全程：早期问资格与费用，中期问展位、搭建与物流，现场问证件、时间与动线，展后问发票、补贴与下一届政策。咨询工单因此不是“客服小事”，而是把政策口径传递给展商的最后一公里。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2　四类业务阶段与咨询特征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8"/>
      </w:tblPr>
      <w:tblGrid>
        <w:gridCol w:w="1231"/>
        <w:gridCol w:w="2360"/>
        <w:gridCol w:w="2052"/>
        <w:gridCol w:w="1128"/>
        <w:gridCol w:w="1847"/>
      </w:tblGrid>
      <w:tr>
        <w:trPr>
          <w:tblHeader w:val="true"/>
        </w:trPr>
        <w:tc>
          <w:tcPr>
            <w:tcW w:type="dxa" w:w="1231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业务阶段</w:t>
            </w:r>
          </w:p>
        </w:tc>
        <w:tc>
          <w:tcPr>
            <w:tcW w:type="dxa" w:w="2360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典型咨询</w:t>
            </w:r>
          </w:p>
        </w:tc>
        <w:tc>
          <w:tcPr>
            <w:tcW w:type="dxa" w:w="2052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主要依据</w:t>
            </w:r>
          </w:p>
        </w:tc>
        <w:tc>
          <w:tcPr>
            <w:tcW w:type="dxa" w:w="1128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口径变化频率</w:t>
            </w:r>
          </w:p>
        </w:tc>
        <w:tc>
          <w:tcPr>
            <w:tcW w:type="dxa" w:w="1847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出错后果</w:t>
            </w:r>
          </w:p>
        </w:tc>
      </w:tr>
      <w:tr>
        <w:tc>
          <w:tcPr>
            <w:tcW w:type="dxa" w:w="1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招展签约</w:t>
            </w:r>
          </w:p>
        </w:tc>
        <w:tc>
          <w:tcPr>
            <w:tcW w:type="dxa" w:w="236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参展资格、展位价格、优惠政策</w:t>
            </w:r>
          </w:p>
        </w:tc>
        <w:tc>
          <w:tcPr>
            <w:tcW w:type="dxa" w:w="20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招展通知、价格文件</w:t>
            </w:r>
          </w:p>
        </w:tc>
        <w:tc>
          <w:tcPr>
            <w:tcW w:type="dxa" w:w="11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中</w:t>
            </w:r>
          </w:p>
        </w:tc>
        <w:tc>
          <w:tcPr>
            <w:tcW w:type="dxa" w:w="184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报价错误、承诺无法兑现</w:t>
            </w:r>
          </w:p>
        </w:tc>
      </w:tr>
      <w:tr>
        <w:tc>
          <w:tcPr>
            <w:tcW w:type="dxa" w:w="1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参展准备</w:t>
            </w:r>
          </w:p>
        </w:tc>
        <w:tc>
          <w:tcPr>
            <w:tcW w:type="dxa" w:w="236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展位调整、搭建限制、物流入园</w:t>
            </w:r>
          </w:p>
        </w:tc>
        <w:tc>
          <w:tcPr>
            <w:tcW w:type="dxa" w:w="20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展位图、搭建手册</w:t>
            </w:r>
          </w:p>
        </w:tc>
        <w:tc>
          <w:tcPr>
            <w:tcW w:type="dxa" w:w="11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高（临近开展）</w:t>
            </w:r>
          </w:p>
        </w:tc>
        <w:tc>
          <w:tcPr>
            <w:tcW w:type="dxa" w:w="184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现场返工、额外费用</w:t>
            </w:r>
          </w:p>
        </w:tc>
      </w:tr>
      <w:tr>
        <w:tc>
          <w:tcPr>
            <w:tcW w:type="dxa" w:w="1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现场服务</w:t>
            </w:r>
          </w:p>
        </w:tc>
        <w:tc>
          <w:tcPr>
            <w:tcW w:type="dxa" w:w="236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证件、开放时间、动线、餐饮</w:t>
            </w:r>
          </w:p>
        </w:tc>
        <w:tc>
          <w:tcPr>
            <w:tcW w:type="dxa" w:w="20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现场通知、馆方规定</w:t>
            </w:r>
          </w:p>
        </w:tc>
        <w:tc>
          <w:tcPr>
            <w:tcW w:type="dxa" w:w="11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很高（按天）</w:t>
            </w:r>
          </w:p>
        </w:tc>
        <w:tc>
          <w:tcPr>
            <w:tcW w:type="dxa" w:w="184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展商体验受损、投诉</w:t>
            </w:r>
          </w:p>
        </w:tc>
      </w:tr>
      <w:tr>
        <w:tc>
          <w:tcPr>
            <w:tcW w:type="dxa" w:w="1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展后跟进</w:t>
            </w:r>
          </w:p>
        </w:tc>
        <w:tc>
          <w:tcPr>
            <w:tcW w:type="dxa" w:w="236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发票、补贴、下一届政策</w:t>
            </w:r>
          </w:p>
        </w:tc>
        <w:tc>
          <w:tcPr>
            <w:tcW w:type="dxa" w:w="20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财务口径、次年招展文件</w:t>
            </w:r>
          </w:p>
        </w:tc>
        <w:tc>
          <w:tcPr>
            <w:tcW w:type="dxa" w:w="11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低</w:t>
            </w:r>
          </w:p>
        </w:tc>
        <w:tc>
          <w:tcPr>
            <w:tcW w:type="dxa" w:w="184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结算争议、复展率下降</w:t>
            </w:r>
          </w:p>
        </w:tc>
      </w:tr>
    </w:tbl>
    <w:p>
      <w:pPr>
        <w:spacing w:after="40"/>
      </w:pP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四个阶段的共同点是：回答都必须引用某一版正式通知。版本一旦混用，展商听到的就是“另一个展会”的规则。这也是本项目把“版本可追溯”放在第一位的原因。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2.2 工单生命周期五段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3　工单生命周期的五个阶段（f01、f20）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808"/>
        <w:gridCol w:w="1795"/>
        <w:gridCol w:w="2424"/>
        <w:gridCol w:w="1167"/>
        <w:gridCol w:w="1077"/>
        <w:gridCol w:w="1346"/>
      </w:tblGrid>
      <w:tr>
        <w:trPr>
          <w:tblHeader w:val="true"/>
        </w:trPr>
        <w:tc>
          <w:tcPr>
            <w:tcW w:type="dxa" w:w="808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阶段</w:t>
            </w:r>
          </w:p>
        </w:tc>
        <w:tc>
          <w:tcPr>
            <w:tcW w:type="dxa" w:w="1795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输入</w:t>
            </w:r>
          </w:p>
        </w:tc>
        <w:tc>
          <w:tcPr>
            <w:tcW w:type="dxa" w:w="2424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关键动作</w:t>
            </w:r>
          </w:p>
        </w:tc>
        <w:tc>
          <w:tcPr>
            <w:tcW w:type="dxa" w:w="1167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输出</w:t>
            </w:r>
          </w:p>
        </w:tc>
        <w:tc>
          <w:tcPr>
            <w:tcW w:type="dxa" w:w="1077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责任人</w:t>
            </w:r>
          </w:p>
        </w:tc>
        <w:tc>
          <w:tcPr>
            <w:tcW w:type="dxa" w:w="1346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承载工具</w:t>
            </w:r>
          </w:p>
        </w:tc>
      </w:tr>
      <w:tr>
        <w:tc>
          <w:tcPr>
            <w:tcW w:type="dxa" w:w="80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接收</w:t>
            </w:r>
          </w:p>
        </w:tc>
        <w:tc>
          <w:tcPr>
            <w:tcW w:type="dxa" w:w="179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展商来电/微信/现场</w:t>
            </w:r>
          </w:p>
        </w:tc>
        <w:tc>
          <w:tcPr>
            <w:tcW w:type="dxa" w:w="242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登记展商、批次、类别、接收人</w:t>
            </w:r>
          </w:p>
        </w:tc>
        <w:tc>
          <w:tcPr>
            <w:tcW w:type="dxa" w:w="116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工单行</w:t>
            </w:r>
          </w:p>
        </w:tc>
        <w:tc>
          <w:tcPr>
            <w:tcW w:type="dxa" w:w="107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一线服务专员</w:t>
            </w:r>
          </w:p>
        </w:tc>
        <w:tc>
          <w:tcPr>
            <w:tcW w:type="dxa" w:w="134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内部服务台</w:t>
            </w:r>
          </w:p>
        </w:tc>
      </w:tr>
      <w:tr>
        <w:tc>
          <w:tcPr>
            <w:tcW w:type="dxa" w:w="80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分类</w:t>
            </w:r>
          </w:p>
        </w:tc>
        <w:tc>
          <w:tcPr>
            <w:tcW w:type="dxa" w:w="179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问题描述</w:t>
            </w:r>
          </w:p>
        </w:tc>
        <w:tc>
          <w:tcPr>
            <w:tcW w:type="dxa" w:w="242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按费用/资格/时间/展位归类，标例外</w:t>
            </w:r>
          </w:p>
        </w:tc>
        <w:tc>
          <w:tcPr>
            <w:tcW w:type="dxa" w:w="116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类别字段</w:t>
            </w:r>
          </w:p>
        </w:tc>
        <w:tc>
          <w:tcPr>
            <w:tcW w:type="dxa" w:w="107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一线服务专员</w:t>
            </w:r>
          </w:p>
        </w:tc>
        <w:tc>
          <w:tcPr>
            <w:tcW w:type="dxa" w:w="134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内部服务台</w:t>
            </w:r>
          </w:p>
        </w:tc>
      </w:tr>
      <w:tr>
        <w:tc>
          <w:tcPr>
            <w:tcW w:type="dxa" w:w="80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检索</w:t>
            </w:r>
          </w:p>
        </w:tc>
        <w:tc>
          <w:tcPr>
            <w:tcW w:type="dxa" w:w="179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类别 + 时间</w:t>
            </w:r>
          </w:p>
        </w:tc>
        <w:tc>
          <w:tcPr>
            <w:tcW w:type="dxa" w:w="242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找“当前有效且已确认”的版本</w:t>
            </w:r>
          </w:p>
        </w:tc>
        <w:tc>
          <w:tcPr>
            <w:tcW w:type="dxa" w:w="116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版本号与依据</w:t>
            </w:r>
          </w:p>
        </w:tc>
        <w:tc>
          <w:tcPr>
            <w:tcW w:type="dxa" w:w="107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项目流程协调员</w:t>
            </w:r>
          </w:p>
        </w:tc>
        <w:tc>
          <w:tcPr>
            <w:tcW w:type="dxa" w:w="134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文件库 + 群消息</w:t>
            </w:r>
          </w:p>
        </w:tc>
      </w:tr>
      <w:tr>
        <w:tc>
          <w:tcPr>
            <w:tcW w:type="dxa" w:w="80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转派</w:t>
            </w:r>
          </w:p>
        </w:tc>
        <w:tc>
          <w:tcPr>
            <w:tcW w:type="dxa" w:w="179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版本 + 未确认项</w:t>
            </w:r>
          </w:p>
        </w:tc>
        <w:tc>
          <w:tcPr>
            <w:tcW w:type="dxa" w:w="242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交接接收人、版本、截止时间</w:t>
            </w:r>
          </w:p>
        </w:tc>
        <w:tc>
          <w:tcPr>
            <w:tcW w:type="dxa" w:w="116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交接清单</w:t>
            </w:r>
          </w:p>
        </w:tc>
        <w:tc>
          <w:tcPr>
            <w:tcW w:type="dxa" w:w="107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项目流程协调员</w:t>
            </w:r>
          </w:p>
        </w:tc>
        <w:tc>
          <w:tcPr>
            <w:tcW w:type="dxa" w:w="134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群消息/台账</w:t>
            </w:r>
          </w:p>
        </w:tc>
      </w:tr>
      <w:tr>
        <w:tc>
          <w:tcPr>
            <w:tcW w:type="dxa" w:w="80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审核</w:t>
            </w:r>
          </w:p>
        </w:tc>
        <w:tc>
          <w:tcPr>
            <w:tcW w:type="dxa" w:w="179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回复草稿</w:t>
            </w:r>
          </w:p>
        </w:tc>
        <w:tc>
          <w:tcPr>
            <w:tcW w:type="dxa" w:w="242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授权人核对来源与口径后确认</w:t>
            </w:r>
          </w:p>
        </w:tc>
        <w:tc>
          <w:tcPr>
            <w:tcW w:type="dxa" w:w="116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可对外答复</w:t>
            </w:r>
          </w:p>
        </w:tc>
        <w:tc>
          <w:tcPr>
            <w:tcW w:type="dxa" w:w="107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业务负责人</w:t>
            </w:r>
          </w:p>
        </w:tc>
        <w:tc>
          <w:tcPr>
            <w:tcW w:type="dxa" w:w="134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线下 + 台账</w:t>
            </w:r>
          </w:p>
        </w:tc>
      </w:tr>
    </w:tbl>
    <w:p>
      <w:pPr>
        <w:spacing w:after="40"/>
      </w:pP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现状的断点不在某一个阶段，而在阶段之间：登记靠回忆补、检索靠文件名猜、转派靠群消息喊、审核靠人盯。每一次交接都没有统一编号，导致“这条答复依据哪一版”只能靠当事人记忆。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2.3 三套工具与数据流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4　三套工具与群消息的分工（f30）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8"/>
      </w:tblPr>
      <w:tblGrid>
        <w:gridCol w:w="1189"/>
        <w:gridCol w:w="2179"/>
        <w:gridCol w:w="1684"/>
        <w:gridCol w:w="1486"/>
        <w:gridCol w:w="2080"/>
      </w:tblGrid>
      <w:tr>
        <w:trPr>
          <w:tblHeader w:val="true"/>
        </w:trPr>
        <w:tc>
          <w:tcPr>
            <w:tcW w:type="dxa" w:w="1189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工具</w:t>
            </w:r>
          </w:p>
        </w:tc>
        <w:tc>
          <w:tcPr>
            <w:tcW w:type="dxa" w:w="2179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主要数据</w:t>
            </w:r>
          </w:p>
        </w:tc>
        <w:tc>
          <w:tcPr>
            <w:tcW w:type="dxa" w:w="1684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更新方式</w:t>
            </w:r>
          </w:p>
        </w:tc>
        <w:tc>
          <w:tcPr>
            <w:tcW w:type="dxa" w:w="1486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在工单中的作用</w:t>
            </w:r>
          </w:p>
        </w:tc>
        <w:tc>
          <w:tcPr>
            <w:tcW w:type="dxa" w:w="2080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结构化缺口</w:t>
            </w:r>
          </w:p>
        </w:tc>
      </w:tr>
      <w:tr>
        <w:tc>
          <w:tcPr>
            <w:tcW w:type="dxa" w:w="118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内部服务台</w:t>
            </w:r>
          </w:p>
        </w:tc>
        <w:tc>
          <w:tcPr>
            <w:tcW w:type="dxa" w:w="217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工单号、类别、处理人、状态</w:t>
            </w:r>
          </w:p>
        </w:tc>
        <w:tc>
          <w:tcPr>
            <w:tcW w:type="dxa" w:w="168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人工录入，事后补填</w:t>
            </w:r>
          </w:p>
        </w:tc>
        <w:tc>
          <w:tcPr>
            <w:tcW w:type="dxa" w:w="148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记录“有这件事”</w:t>
            </w:r>
          </w:p>
        </w:tc>
        <w:tc>
          <w:tcPr>
            <w:tcW w:type="dxa" w:w="208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无版本号、无规则生效日、时间可回填</w:t>
            </w:r>
          </w:p>
        </w:tc>
      </w:tr>
      <w:tr>
        <w:tc>
          <w:tcPr>
            <w:tcW w:type="dxa" w:w="118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业务台账</w:t>
            </w:r>
          </w:p>
        </w:tc>
        <w:tc>
          <w:tcPr>
            <w:tcW w:type="dxa" w:w="217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展商、展位、费用、合同</w:t>
            </w:r>
          </w:p>
        </w:tc>
        <w:tc>
          <w:tcPr>
            <w:tcW w:type="dxa" w:w="168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按批次维护</w:t>
            </w:r>
          </w:p>
        </w:tc>
        <w:tc>
          <w:tcPr>
            <w:tcW w:type="dxa" w:w="148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查商业条款</w:t>
            </w:r>
          </w:p>
        </w:tc>
        <w:tc>
          <w:tcPr>
            <w:tcW w:type="dxa" w:w="208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与工单无关联编号，口径以表格为准</w:t>
            </w:r>
          </w:p>
        </w:tc>
      </w:tr>
      <w:tr>
        <w:tc>
          <w:tcPr>
            <w:tcW w:type="dxa" w:w="118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文件库</w:t>
            </w:r>
          </w:p>
        </w:tc>
        <w:tc>
          <w:tcPr>
            <w:tcW w:type="dxa" w:w="217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通知、手册、价格文件</w:t>
            </w:r>
          </w:p>
        </w:tc>
        <w:tc>
          <w:tcPr>
            <w:tcW w:type="dxa" w:w="168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发新版即覆盖，旧版靠文件名区分</w:t>
            </w:r>
          </w:p>
        </w:tc>
        <w:tc>
          <w:tcPr>
            <w:tcW w:type="dxa" w:w="148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查政策原文</w:t>
            </w:r>
          </w:p>
        </w:tc>
        <w:tc>
          <w:tcPr>
            <w:tcW w:type="dxa" w:w="208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无有效期字段、无确认状态、无作废原因</w:t>
            </w:r>
          </w:p>
        </w:tc>
      </w:tr>
      <w:tr>
        <w:tc>
          <w:tcPr>
            <w:tcW w:type="dxa" w:w="118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群消息</w:t>
            </w:r>
          </w:p>
        </w:tc>
        <w:tc>
          <w:tcPr>
            <w:tcW w:type="dxa" w:w="217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临时口径、口头确认</w:t>
            </w:r>
          </w:p>
        </w:tc>
        <w:tc>
          <w:tcPr>
            <w:tcW w:type="dxa" w:w="168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即时</w:t>
            </w:r>
          </w:p>
        </w:tc>
        <w:tc>
          <w:tcPr>
            <w:tcW w:type="dxa" w:w="148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事实上最常用</w:t>
            </w:r>
          </w:p>
        </w:tc>
        <w:tc>
          <w:tcPr>
            <w:tcW w:type="dxa" w:w="208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不可检索、不可审计、无法追责</w:t>
            </w:r>
          </w:p>
        </w:tc>
      </w:tr>
    </w:tbl>
    <w:p>
      <w:pPr>
        <w:spacing w:after="40"/>
      </w:pP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四者之间没有共同主键。要把“工单—版本—交接—确认”串起来，只能人工比对三张表加聊天记录。这不是员工不认真，而是数据结构上就没有留下可追溯的钩子。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2.4 一条工单在现状下的走法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展商在开展前两周询问“调整后的展位是否加收费用”。一线专员先在工作群问，得到“应该不加”的口头答复，随后用微信回复展商；两天后补填服务台工单，回填时间写成当天。审核方抽查时看到的是一条“当天受理、当天答复”的漂亮记录，但真实业务发生时间、引用的通知版本、谁确认的口径，全都没有留下。若展商事后主张“你们说过不加费”，企业既无法证明说过，也无法证明依据哪一版。</w:t>
      </w:r>
    </w:p>
    <w:p>
      <w:r>
        <w:br w:type="page"/>
      </w: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三、角色与权责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3.1 六个角色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5　六个角色的关注点、动作与权限（f04、f20、f45）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8"/>
      </w:tblPr>
      <w:tblGrid>
        <w:gridCol w:w="1616"/>
        <w:gridCol w:w="1526"/>
        <w:gridCol w:w="1975"/>
        <w:gridCol w:w="1526"/>
        <w:gridCol w:w="1975"/>
      </w:tblGrid>
      <w:tr>
        <w:trPr>
          <w:tblHeader w:val="true"/>
        </w:trPr>
        <w:tc>
          <w:tcPr>
            <w:tcW w:type="dxa" w:w="1616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角色</w:t>
            </w:r>
          </w:p>
        </w:tc>
        <w:tc>
          <w:tcPr>
            <w:tcW w:type="dxa" w:w="1526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核心关注</w:t>
            </w:r>
          </w:p>
        </w:tc>
        <w:tc>
          <w:tcPr>
            <w:tcW w:type="dxa" w:w="1975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日常动作</w:t>
            </w:r>
          </w:p>
        </w:tc>
        <w:tc>
          <w:tcPr>
            <w:tcW w:type="dxa" w:w="1526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决策权</w:t>
            </w:r>
          </w:p>
        </w:tc>
        <w:tc>
          <w:tcPr>
            <w:tcW w:type="dxa" w:w="1975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主要痛点</w:t>
            </w:r>
          </w:p>
        </w:tc>
      </w:tr>
      <w:tr>
        <w:tc>
          <w:tcPr>
            <w:tcW w:type="dxa" w:w="161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顾明岚｜业务负责人</w:t>
            </w:r>
          </w:p>
        </w:tc>
        <w:tc>
          <w:tcPr>
            <w:tcW w:type="dxa" w:w="152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口径统一、风险可控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定政策、审例外、对外表态</w:t>
            </w:r>
          </w:p>
        </w:tc>
        <w:tc>
          <w:tcPr>
            <w:tcW w:type="dxa" w:w="152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最终口径与试点去留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不知道一线到底引用了哪版</w:t>
            </w:r>
          </w:p>
        </w:tc>
      </w:tr>
      <w:tr>
        <w:tc>
          <w:tcPr>
            <w:tcW w:type="dxa" w:w="161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林亦舟｜一线服务专员</w:t>
            </w:r>
          </w:p>
        </w:tc>
        <w:tc>
          <w:tcPr>
            <w:tcW w:type="dxa" w:w="152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快速答复、不被投诉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接咨询、查群、回展商、补工单</w:t>
            </w:r>
          </w:p>
        </w:tc>
        <w:tc>
          <w:tcPr>
            <w:tcW w:type="dxa" w:w="152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无最终口径决定权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信息在群里，查起来慢</w:t>
            </w:r>
          </w:p>
        </w:tc>
      </w:tr>
      <w:tr>
        <w:tc>
          <w:tcPr>
            <w:tcW w:type="dxa" w:w="161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唐映秋｜项目流程协调员</w:t>
            </w:r>
          </w:p>
        </w:tc>
        <w:tc>
          <w:tcPr>
            <w:tcW w:type="dxa" w:w="152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交接清楚、版本不断链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维护文件、转派、催办</w:t>
            </w:r>
          </w:p>
        </w:tc>
        <w:tc>
          <w:tcPr>
            <w:tcW w:type="dxa" w:w="152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版本有效性初判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旧文件与新版混放，靠文件名</w:t>
            </w:r>
          </w:p>
        </w:tc>
      </w:tr>
      <w:tr>
        <w:tc>
          <w:tcPr>
            <w:tcW w:type="dxa" w:w="161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秦芮｜数字化工程师</w:t>
            </w:r>
          </w:p>
        </w:tc>
        <w:tc>
          <w:tcPr>
            <w:tcW w:type="dxa" w:w="152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数据可用、系统可维护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导数据、对字段、做报表</w:t>
            </w:r>
          </w:p>
        </w:tc>
        <w:tc>
          <w:tcPr>
            <w:tcW w:type="dxa" w:w="152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技术方案建议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三套系统无统一编号</w:t>
            </w:r>
          </w:p>
        </w:tc>
      </w:tr>
      <w:tr>
        <w:tc>
          <w:tcPr>
            <w:tcW w:type="dxa" w:w="161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傅景｜审核与质量负责人</w:t>
            </w:r>
          </w:p>
        </w:tc>
        <w:tc>
          <w:tcPr>
            <w:tcW w:type="dxa" w:w="152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可追溯、可抽检、可叫停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抽查、复核、暂停试点</w:t>
            </w:r>
          </w:p>
        </w:tc>
        <w:tc>
          <w:tcPr>
            <w:tcW w:type="dxa" w:w="152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复核与暂停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只能看到最终摘要</w:t>
            </w:r>
          </w:p>
        </w:tc>
      </w:tr>
      <w:tr>
        <w:tc>
          <w:tcPr>
            <w:tcW w:type="dxa" w:w="161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叶书｜客户协同代表</w:t>
            </w:r>
          </w:p>
        </w:tc>
        <w:tc>
          <w:tcPr>
            <w:tcW w:type="dxa" w:w="152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展商体验、承诺一致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对接展商、收集反馈</w:t>
            </w:r>
          </w:p>
        </w:tc>
        <w:tc>
          <w:tcPr>
            <w:tcW w:type="dxa" w:w="152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对外沟通方式建议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同一问题不同人答得不一样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3.2 权责冲突点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访谈中最容易引争议的不是流程，而是“谁可以把结论说出去”。现状存在三处结构性模糊：</w:t>
      </w:r>
    </w:p>
    <w:p>
      <w:pPr>
        <w:spacing w:after="60" w:line="336" w:lineRule="auto"/>
        <w:ind w:left="425" w:hanging="255"/>
      </w:pPr>
      <w:r>
        <w:rPr>
          <w:rFonts w:ascii="宋体" w:hAnsi="宋体" w:eastAsia="宋体"/>
          <w:b w:val="0"/>
          <w:i w:val="0"/>
          <w:color w:val="2E5496"/>
          <w:sz w:val="21"/>
        </w:rPr>
        <w:t xml:space="preserve">• </w:t>
      </w:r>
      <w:r>
        <w:rPr>
          <w:rFonts w:ascii="宋体" w:hAnsi="宋体" w:eastAsia="宋体"/>
          <w:b/>
          <w:i w:val="0"/>
          <w:sz w:val="21"/>
        </w:rPr>
        <w:t xml:space="preserve">① </w:t>
      </w:r>
      <w:r>
        <w:rPr>
          <w:rFonts w:ascii="宋体" w:hAnsi="宋体" w:eastAsia="宋体"/>
          <w:b w:val="0"/>
          <w:i w:val="0"/>
          <w:sz w:val="21"/>
        </w:rPr>
        <w:t>版本解释权：文件库管理员能发新版，但“这一版是否已确认、是否覆盖某场次”没有明确责任人。</w:t>
      </w:r>
    </w:p>
    <w:p>
      <w:pPr>
        <w:spacing w:after="60" w:line="336" w:lineRule="auto"/>
        <w:ind w:left="425" w:hanging="255"/>
      </w:pPr>
      <w:r>
        <w:rPr>
          <w:rFonts w:ascii="宋体" w:hAnsi="宋体" w:eastAsia="宋体"/>
          <w:b w:val="0"/>
          <w:i w:val="0"/>
          <w:color w:val="2E5496"/>
          <w:sz w:val="21"/>
        </w:rPr>
        <w:t xml:space="preserve">• </w:t>
      </w:r>
      <w:r>
        <w:rPr>
          <w:rFonts w:ascii="宋体" w:hAnsi="宋体" w:eastAsia="宋体"/>
          <w:b/>
          <w:i w:val="0"/>
          <w:sz w:val="21"/>
        </w:rPr>
        <w:t xml:space="preserve">② </w:t>
      </w:r>
      <w:r>
        <w:rPr>
          <w:rFonts w:ascii="宋体" w:hAnsi="宋体" w:eastAsia="宋体"/>
          <w:b w:val="0"/>
          <w:i w:val="0"/>
          <w:sz w:val="21"/>
        </w:rPr>
        <w:t>例外认定权：收费减免、资格特批由谁拍板，访谈中出现三种说法，且都没有书面授权。</w:t>
      </w:r>
    </w:p>
    <w:p>
      <w:pPr>
        <w:spacing w:after="60" w:line="336" w:lineRule="auto"/>
        <w:ind w:left="425" w:hanging="255"/>
      </w:pPr>
      <w:r>
        <w:rPr>
          <w:rFonts w:ascii="宋体" w:hAnsi="宋体" w:eastAsia="宋体"/>
          <w:b w:val="0"/>
          <w:i w:val="0"/>
          <w:color w:val="2E5496"/>
          <w:sz w:val="21"/>
        </w:rPr>
        <w:t xml:space="preserve">• </w:t>
      </w:r>
      <w:r>
        <w:rPr>
          <w:rFonts w:ascii="宋体" w:hAnsi="宋体" w:eastAsia="宋体"/>
          <w:b/>
          <w:i w:val="0"/>
          <w:sz w:val="21"/>
        </w:rPr>
        <w:t xml:space="preserve">③ </w:t>
      </w:r>
      <w:r>
        <w:rPr>
          <w:rFonts w:ascii="宋体" w:hAnsi="宋体" w:eastAsia="宋体"/>
          <w:b w:val="0"/>
          <w:i w:val="0"/>
          <w:sz w:val="21"/>
        </w:rPr>
        <w:t>草稿使用权：一线把模型或同事给的“参考答复”直接发给展商，事后无法区分建议与承诺。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6　“谁可以做什么”的现状约定（均需评审确认）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8"/>
      </w:tblPr>
      <w:tblGrid>
        <w:gridCol w:w="1809"/>
        <w:gridCol w:w="2341"/>
        <w:gridCol w:w="4468"/>
      </w:tblGrid>
      <w:tr>
        <w:trPr>
          <w:tblHeader w:val="true"/>
        </w:trPr>
        <w:tc>
          <w:tcPr>
            <w:tcW w:type="dxa" w:w="1809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动作</w:t>
            </w:r>
          </w:p>
        </w:tc>
        <w:tc>
          <w:tcPr>
            <w:tcW w:type="dxa" w:w="2341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可执行角色（待确认）</w:t>
            </w:r>
          </w:p>
        </w:tc>
        <w:tc>
          <w:tcPr>
            <w:tcW w:type="dxa" w:w="4468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限制与留痕</w:t>
            </w:r>
          </w:p>
        </w:tc>
      </w:tr>
      <w:tr>
        <w:tc>
          <w:tcPr>
            <w:tcW w:type="dxa" w:w="18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判定当前版本</w:t>
            </w:r>
          </w:p>
        </w:tc>
        <w:tc>
          <w:tcPr>
            <w:tcW w:type="dxa" w:w="23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项目流程协调员</w:t>
            </w:r>
          </w:p>
        </w:tc>
        <w:tc>
          <w:tcPr>
            <w:tcW w:type="dxa" w:w="446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有效期 + 确认状态双条件；作废保留原因；不看文件名</w:t>
            </w:r>
          </w:p>
        </w:tc>
      </w:tr>
      <w:tr>
        <w:tc>
          <w:tcPr>
            <w:tcW w:type="dxa" w:w="18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审核确认口径</w:t>
            </w:r>
          </w:p>
        </w:tc>
        <w:tc>
          <w:tcPr>
            <w:tcW w:type="dxa" w:w="23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业务负责人</w:t>
            </w:r>
          </w:p>
        </w:tc>
        <w:tc>
          <w:tcPr>
            <w:tcW w:type="dxa" w:w="446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模型无审批权；正式结论须授权人确认</w:t>
            </w:r>
          </w:p>
        </w:tc>
      </w:tr>
      <w:tr>
        <w:tc>
          <w:tcPr>
            <w:tcW w:type="dxa" w:w="18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对外发出</w:t>
            </w:r>
          </w:p>
        </w:tc>
        <w:tc>
          <w:tcPr>
            <w:tcW w:type="dxa" w:w="23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业务人员</w:t>
            </w:r>
          </w:p>
        </w:tc>
        <w:tc>
          <w:tcPr>
            <w:tcW w:type="dxa" w:w="446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收费/资格决定不得自动发布；客户协同代表确认用途</w:t>
            </w:r>
          </w:p>
        </w:tc>
      </w:tr>
      <w:tr>
        <w:tc>
          <w:tcPr>
            <w:tcW w:type="dxa" w:w="18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进入兜底队列</w:t>
            </w:r>
          </w:p>
        </w:tc>
        <w:tc>
          <w:tcPr>
            <w:tcW w:type="dxa" w:w="23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一线 / 流程协调</w:t>
            </w:r>
          </w:p>
        </w:tc>
        <w:tc>
          <w:tcPr>
            <w:tcW w:type="dxa" w:w="446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无法确认版本或关键字段时强制触发</w:t>
            </w:r>
          </w:p>
        </w:tc>
      </w:tr>
      <w:tr>
        <w:tc>
          <w:tcPr>
            <w:tcW w:type="dxa" w:w="18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暂停试点</w:t>
            </w:r>
          </w:p>
        </w:tc>
        <w:tc>
          <w:tcPr>
            <w:tcW w:type="dxa" w:w="23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审核与质量负责人</w:t>
            </w:r>
          </w:p>
        </w:tc>
        <w:tc>
          <w:tcPr>
            <w:tcW w:type="dxa" w:w="446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兜底连续触发或版本无法确认时的默认动作</w:t>
            </w:r>
          </w:p>
        </w:tc>
      </w:tr>
      <w:tr>
        <w:tc>
          <w:tcPr>
            <w:tcW w:type="dxa" w:w="18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导出与留痕</w:t>
            </w:r>
          </w:p>
        </w:tc>
        <w:tc>
          <w:tcPr>
            <w:tcW w:type="dxa" w:w="234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数字化工程师</w:t>
            </w:r>
          </w:p>
        </w:tc>
        <w:tc>
          <w:tcPr>
            <w:tcW w:type="dxa" w:w="446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仅脱敏只读；写回、外发、执行接口不开放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四、现状断点与归因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4.1 八个环节的留痕与断点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7　八环节的留痕与断点（对应流程图 ①–⑧）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1112"/>
        <w:gridCol w:w="2594"/>
        <w:gridCol w:w="1853"/>
        <w:gridCol w:w="3058"/>
      </w:tblGrid>
      <w:tr>
        <w:trPr>
          <w:tblHeader w:val="true"/>
        </w:trPr>
        <w:tc>
          <w:tcPr>
            <w:tcW w:type="dxa" w:w="1112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环节</w:t>
            </w:r>
          </w:p>
        </w:tc>
        <w:tc>
          <w:tcPr>
            <w:tcW w:type="dxa" w:w="2594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关键动作</w:t>
            </w:r>
          </w:p>
        </w:tc>
        <w:tc>
          <w:tcPr>
            <w:tcW w:type="dxa" w:w="1853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留下的痕迹</w:t>
            </w:r>
          </w:p>
        </w:tc>
        <w:tc>
          <w:tcPr>
            <w:tcW w:type="dxa" w:w="3058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断点</w:t>
            </w:r>
          </w:p>
        </w:tc>
      </w:tr>
      <w:tr>
        <w:tc>
          <w:tcPr>
            <w:tcW w:type="dxa" w:w="111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① 接收登记</w:t>
            </w:r>
          </w:p>
        </w:tc>
        <w:tc>
          <w:tcPr>
            <w:tcW w:type="dxa" w:w="259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记录展商、批次、类别、接收人</w:t>
            </w:r>
          </w:p>
        </w:tc>
        <w:tc>
          <w:tcPr>
            <w:tcW w:type="dxa" w:w="185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工单行（常事后补填）</w:t>
            </w:r>
          </w:p>
        </w:tc>
        <w:tc>
          <w:tcPr>
            <w:tcW w:type="dxa" w:w="305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业务发生时间与系统接收时间混为一个</w:t>
            </w:r>
          </w:p>
        </w:tc>
      </w:tr>
      <w:tr>
        <w:tc>
          <w:tcPr>
            <w:tcW w:type="dxa" w:w="111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② 问题分类</w:t>
            </w:r>
          </w:p>
        </w:tc>
        <w:tc>
          <w:tcPr>
            <w:tcW w:type="dxa" w:w="259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按费用/资格/时间/展位归类</w:t>
            </w:r>
          </w:p>
        </w:tc>
        <w:tc>
          <w:tcPr>
            <w:tcW w:type="dxa" w:w="185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类别字段</w:t>
            </w:r>
          </w:p>
        </w:tc>
        <w:tc>
          <w:tcPr>
            <w:tcW w:type="dxa" w:w="305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例外与常规混用，缺“是否例外”标记</w:t>
            </w:r>
          </w:p>
        </w:tc>
      </w:tr>
      <w:tr>
        <w:tc>
          <w:tcPr>
            <w:tcW w:type="dxa" w:w="111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③ 版本检索</w:t>
            </w:r>
          </w:p>
        </w:tc>
        <w:tc>
          <w:tcPr>
            <w:tcW w:type="dxa" w:w="259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找当前有效版本</w:t>
            </w:r>
          </w:p>
        </w:tc>
        <w:tc>
          <w:tcPr>
            <w:tcW w:type="dxa" w:w="185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文件名、群消息</w:t>
            </w:r>
          </w:p>
        </w:tc>
        <w:tc>
          <w:tcPr>
            <w:tcW w:type="dxa" w:w="305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无有效期字段；旧版未作废或未写原因</w:t>
            </w:r>
          </w:p>
        </w:tc>
      </w:tr>
      <w:tr>
        <w:tc>
          <w:tcPr>
            <w:tcW w:type="dxa" w:w="111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④ 转派交接</w:t>
            </w:r>
          </w:p>
        </w:tc>
        <w:tc>
          <w:tcPr>
            <w:tcW w:type="dxa" w:w="259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交接版本、未确认项、截止时间</w:t>
            </w:r>
          </w:p>
        </w:tc>
        <w:tc>
          <w:tcPr>
            <w:tcW w:type="dxa" w:w="185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群消息、台账</w:t>
            </w:r>
          </w:p>
        </w:tc>
        <w:tc>
          <w:tcPr>
            <w:tcW w:type="dxa" w:w="305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无统一编号；未确认项被默认归到对方</w:t>
            </w:r>
          </w:p>
        </w:tc>
      </w:tr>
      <w:tr>
        <w:tc>
          <w:tcPr>
            <w:tcW w:type="dxa" w:w="111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⑤ 草稿</w:t>
            </w:r>
          </w:p>
        </w:tc>
        <w:tc>
          <w:tcPr>
            <w:tcW w:type="dxa" w:w="259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整理回复内容</w:t>
            </w:r>
          </w:p>
        </w:tc>
        <w:tc>
          <w:tcPr>
            <w:tcW w:type="dxa" w:w="185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文档或聊天记录</w:t>
            </w:r>
          </w:p>
        </w:tc>
        <w:tc>
          <w:tcPr>
            <w:tcW w:type="dxa" w:w="305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无固定“未确认”标识，易被当成对外承诺</w:t>
            </w:r>
          </w:p>
        </w:tc>
      </w:tr>
      <w:tr>
        <w:tc>
          <w:tcPr>
            <w:tcW w:type="dxa" w:w="111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⑥ 审核</w:t>
            </w:r>
          </w:p>
        </w:tc>
        <w:tc>
          <w:tcPr>
            <w:tcW w:type="dxa" w:w="259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授权人核对</w:t>
            </w:r>
          </w:p>
        </w:tc>
        <w:tc>
          <w:tcPr>
            <w:tcW w:type="dxa" w:w="185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签字或口头</w:t>
            </w:r>
          </w:p>
        </w:tc>
        <w:tc>
          <w:tcPr>
            <w:tcW w:type="dxa" w:w="305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只留最终摘要，看不到查过哪些版本</w:t>
            </w:r>
          </w:p>
        </w:tc>
      </w:tr>
      <w:tr>
        <w:tc>
          <w:tcPr>
            <w:tcW w:type="dxa" w:w="111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⑦ 对外</w:t>
            </w:r>
          </w:p>
        </w:tc>
        <w:tc>
          <w:tcPr>
            <w:tcW w:type="dxa" w:w="259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业务人员发出</w:t>
            </w:r>
          </w:p>
        </w:tc>
        <w:tc>
          <w:tcPr>
            <w:tcW w:type="dxa" w:w="185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邮件/微信</w:t>
            </w:r>
          </w:p>
        </w:tc>
        <w:tc>
          <w:tcPr>
            <w:tcW w:type="dxa" w:w="305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发出内容与审核版本可能不一致</w:t>
            </w:r>
          </w:p>
        </w:tc>
      </w:tr>
      <w:tr>
        <w:tc>
          <w:tcPr>
            <w:tcW w:type="dxa" w:w="111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⑧ 复盘</w:t>
            </w:r>
          </w:p>
        </w:tc>
        <w:tc>
          <w:tcPr>
            <w:tcW w:type="dxa" w:w="259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统计与改进</w:t>
            </w:r>
          </w:p>
        </w:tc>
        <w:tc>
          <w:tcPr>
            <w:tcW w:type="dxa" w:w="185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周报</w:t>
            </w:r>
          </w:p>
        </w:tc>
        <w:tc>
          <w:tcPr>
            <w:tcW w:type="dxa" w:w="305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缺误报、漏报、未确认项的固定登记口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4.2 五类断点与根因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8　五类断点：现象、证据、影响与根因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8"/>
      </w:tblPr>
      <w:tblGrid>
        <w:gridCol w:w="1019"/>
        <w:gridCol w:w="2131"/>
        <w:gridCol w:w="1205"/>
        <w:gridCol w:w="2039"/>
        <w:gridCol w:w="2224"/>
      </w:tblGrid>
      <w:tr>
        <w:trPr>
          <w:tblHeader w:val="true"/>
        </w:trPr>
        <w:tc>
          <w:tcPr>
            <w:tcW w:type="dxa" w:w="1019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类型</w:t>
            </w:r>
          </w:p>
        </w:tc>
        <w:tc>
          <w:tcPr>
            <w:tcW w:type="dxa" w:w="2131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现象</w:t>
            </w:r>
          </w:p>
        </w:tc>
        <w:tc>
          <w:tcPr>
            <w:tcW w:type="dxa" w:w="1205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证据</w:t>
            </w:r>
          </w:p>
        </w:tc>
        <w:tc>
          <w:tcPr>
            <w:tcW w:type="dxa" w:w="2039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影响</w:t>
            </w:r>
          </w:p>
        </w:tc>
        <w:tc>
          <w:tcPr>
            <w:tcW w:type="dxa" w:w="2224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根因</w:t>
            </w:r>
          </w:p>
        </w:tc>
      </w:tr>
      <w:tr>
        <w:tc>
          <w:tcPr>
            <w:tcW w:type="dxa" w:w="101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时间错位</w:t>
            </w:r>
          </w:p>
        </w:tc>
        <w:tc>
          <w:tcPr>
            <w:tcW w:type="dxa" w:w="21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先答复后补单，回填时间当发生时间</w:t>
            </w:r>
          </w:p>
        </w:tc>
        <w:tc>
          <w:tcPr>
            <w:tcW w:type="dxa" w:w="120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f13、f34</w:t>
            </w:r>
          </w:p>
        </w:tc>
        <w:tc>
          <w:tcPr>
            <w:tcW w:type="dxa" w:w="203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时效统计失真；无法判断当时适用哪版</w:t>
            </w:r>
          </w:p>
        </w:tc>
        <w:tc>
          <w:tcPr>
            <w:tcW w:type="dxa" w:w="222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工单缺双时间戳，系统默认取录入时间</w:t>
            </w:r>
          </w:p>
        </w:tc>
      </w:tr>
      <w:tr>
        <w:tc>
          <w:tcPr>
            <w:tcW w:type="dxa" w:w="101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版本漂移</w:t>
            </w:r>
          </w:p>
        </w:tc>
        <w:tc>
          <w:tcPr>
            <w:tcW w:type="dxa" w:w="21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引用旧通知，时间/费用口径不一致</w:t>
            </w:r>
          </w:p>
        </w:tc>
        <w:tc>
          <w:tcPr>
            <w:tcW w:type="dxa" w:w="120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f10、f11、f24</w:t>
            </w:r>
          </w:p>
        </w:tc>
        <w:tc>
          <w:tcPr>
            <w:tcW w:type="dxa" w:w="203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答复错误、返工、信任受损</w:t>
            </w:r>
          </w:p>
        </w:tc>
        <w:tc>
          <w:tcPr>
            <w:tcW w:type="dxa" w:w="222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以文件名判断新旧；无有效期与确认状态</w:t>
            </w:r>
          </w:p>
        </w:tc>
      </w:tr>
      <w:tr>
        <w:tc>
          <w:tcPr>
            <w:tcW w:type="dxa" w:w="101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编号缺失</w:t>
            </w:r>
          </w:p>
        </w:tc>
        <w:tc>
          <w:tcPr>
            <w:tcW w:type="dxa" w:w="21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三套工具无法关联同一工单</w:t>
            </w:r>
          </w:p>
        </w:tc>
        <w:tc>
          <w:tcPr>
            <w:tcW w:type="dxa" w:w="120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f30、f23</w:t>
            </w:r>
          </w:p>
        </w:tc>
        <w:tc>
          <w:tcPr>
            <w:tcW w:type="dxa" w:w="203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交接断链，追溯只能人工比对</w:t>
            </w:r>
          </w:p>
        </w:tc>
        <w:tc>
          <w:tcPr>
            <w:tcW w:type="dxa" w:w="222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无统一关联编号与责任清单</w:t>
            </w:r>
          </w:p>
        </w:tc>
      </w:tr>
      <w:tr>
        <w:tc>
          <w:tcPr>
            <w:tcW w:type="dxa" w:w="101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口径不一</w:t>
            </w:r>
          </w:p>
        </w:tc>
        <w:tc>
          <w:tcPr>
            <w:tcW w:type="dxa" w:w="21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工时、返工、完成率各说各话</w:t>
            </w:r>
          </w:p>
        </w:tc>
        <w:tc>
          <w:tcPr>
            <w:tcW w:type="dxa" w:w="120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f51、f53</w:t>
            </w:r>
          </w:p>
        </w:tc>
        <w:tc>
          <w:tcPr>
            <w:tcW w:type="dxa" w:w="203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无法评价改进效果，易被单一指标误导</w:t>
            </w:r>
          </w:p>
        </w:tc>
        <w:tc>
          <w:tcPr>
            <w:tcW w:type="dxa" w:w="222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完成定义未统一，汇总表口径不同</w:t>
            </w:r>
          </w:p>
        </w:tc>
      </w:tr>
      <w:tr>
        <w:tc>
          <w:tcPr>
            <w:tcW w:type="dxa" w:w="101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权限模糊</w:t>
            </w:r>
          </w:p>
        </w:tc>
        <w:tc>
          <w:tcPr>
            <w:tcW w:type="dxa" w:w="21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谁能确认、谁能叫停不明确</w:t>
            </w:r>
          </w:p>
        </w:tc>
        <w:tc>
          <w:tcPr>
            <w:tcW w:type="dxa" w:w="120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f04、f22、f41</w:t>
            </w:r>
          </w:p>
        </w:tc>
        <w:tc>
          <w:tcPr>
            <w:tcW w:type="dxa" w:w="203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越权确认或无人负责</w:t>
            </w:r>
          </w:p>
        </w:tc>
        <w:tc>
          <w:tcPr>
            <w:tcW w:type="dxa" w:w="222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缺书面授权矩阵与暂停机制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4.3 一次费用咨询的失败路径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展商问“展位调整后是否加收费用”。一线在群里得到旧口径“不加”，回复展商；流程协调员事后发现新通知已把该情形列入加收范围，但新通知的文件名是“展位说明_final_v3”，旧文件叫“最新版”，没人能凭文件名判断。工单已按“已答复”关闭，交接清单上写着“已处理”。审核抽查时只能看到一句“已答复”，看不到引用版本、确认人和未确认项。最终企业以免单收场，并失去一次修正流程的机会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617"/>
            <w:shd w:fill="FDF3F3"/>
            <w:tcBorders>
              <w:top w:val="single" w:sz="4" w:color="E3B7B7"/>
              <w:bottom w:val="single" w:sz="4" w:color="E3B7B7"/>
              <w:left w:val="single" w:sz="4" w:color="E3B7B7"/>
              <w:right w:val="single" w:sz="4" w:color="E3B7B7"/>
            </w:tcBorders>
            <w:tcMar>
              <w:top w:w="140" w:type="dxa"/>
              <w:bottom w:w="140" w:type="dxa"/>
              <w:start w:w="170" w:type="dxa"/>
              <w:end w:w="170" w:type="dxa"/>
            </w:tcMar>
          </w:tcPr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i w:val="0"/>
                <w:color w:val="B23B3B"/>
                <w:sz w:val="20"/>
              </w:rPr>
              <w:t>这条路径说明什么</w:t>
            </w:r>
          </w:p>
          <w:p>
            <w:pPr>
              <w:spacing w:after="20" w:line="324" w:lineRule="auto"/>
            </w:pPr>
            <w:r>
              <w:rPr>
                <w:rFonts w:ascii="宋体" w:hAnsi="宋体" w:eastAsia="宋体"/>
                <w:b w:val="0"/>
                <w:i w:val="0"/>
                <w:color w:val="595959"/>
                <w:sz w:val="18"/>
              </w:rPr>
              <w:t>错误不是某个人的一次疏忽，而是三个结构缺口叠加：没有双时间戳（不知道何时发生）、没有版本有效期（不知道当时哪版有效）、没有统一编号（不知道交接给了谁）。只补其中任何一个，失败仍会重演。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4.4 断点与需求的对应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9　断点与六条需求的映射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1469"/>
        <w:gridCol w:w="1273"/>
        <w:gridCol w:w="3231"/>
        <w:gridCol w:w="2644"/>
      </w:tblGrid>
      <w:tr>
        <w:trPr>
          <w:tblHeader w:val="true"/>
        </w:trPr>
        <w:tc>
          <w:tcPr>
            <w:tcW w:type="dxa" w:w="1469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断点</w:t>
            </w:r>
          </w:p>
        </w:tc>
        <w:tc>
          <w:tcPr>
            <w:tcW w:type="dxa" w:w="1273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对应需求</w:t>
            </w:r>
          </w:p>
        </w:tc>
        <w:tc>
          <w:tcPr>
            <w:tcW w:type="dxa" w:w="3231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最小改动</w:t>
            </w:r>
          </w:p>
        </w:tc>
        <w:tc>
          <w:tcPr>
            <w:tcW w:type="dxa" w:w="2644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不能解决的部分</w:t>
            </w:r>
          </w:p>
        </w:tc>
      </w:tr>
      <w:tr>
        <w:tc>
          <w:tcPr>
            <w:tcW w:type="dxa" w:w="146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版本漂移</w:t>
            </w:r>
          </w:p>
        </w:tc>
        <w:tc>
          <w:tcPr>
            <w:tcW w:type="dxa" w:w="127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REQ-1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有效期 + 确认状态替代文件名</w:t>
            </w:r>
          </w:p>
        </w:tc>
        <w:tc>
          <w:tcPr>
            <w:tcW w:type="dxa" w:w="264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真实旧版占比仍需统计</w:t>
            </w:r>
          </w:p>
        </w:tc>
      </w:tr>
      <w:tr>
        <w:tc>
          <w:tcPr>
            <w:tcW w:type="dxa" w:w="146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编号缺失</w:t>
            </w:r>
          </w:p>
        </w:tc>
        <w:tc>
          <w:tcPr>
            <w:tcW w:type="dxa" w:w="127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REQ-2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统一关联编号 + 责任清单</w:t>
            </w:r>
          </w:p>
        </w:tc>
        <w:tc>
          <w:tcPr>
            <w:tcW w:type="dxa" w:w="264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源系统是否愿意生成编号待确认</w:t>
            </w:r>
          </w:p>
        </w:tc>
      </w:tr>
      <w:tr>
        <w:tc>
          <w:tcPr>
            <w:tcW w:type="dxa" w:w="146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时间错位</w:t>
            </w:r>
          </w:p>
        </w:tc>
        <w:tc>
          <w:tcPr>
            <w:tcW w:type="dxa" w:w="127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REQ-3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双时间戳 + 快照兜底</w:t>
            </w:r>
          </w:p>
        </w:tc>
        <w:tc>
          <w:tcPr>
            <w:tcW w:type="dxa" w:w="264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回填习惯需配套管理要求</w:t>
            </w:r>
          </w:p>
        </w:tc>
      </w:tr>
      <w:tr>
        <w:tc>
          <w:tcPr>
            <w:tcW w:type="dxa" w:w="146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兜底不足</w:t>
            </w:r>
          </w:p>
        </w:tc>
        <w:tc>
          <w:tcPr>
            <w:tcW w:type="dxa" w:w="127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REQ-4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触发条件扩展到来源/授权</w:t>
            </w:r>
          </w:p>
        </w:tc>
        <w:tc>
          <w:tcPr>
            <w:tcW w:type="dxa" w:w="264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例外认定权归属未定</w:t>
            </w:r>
          </w:p>
        </w:tc>
      </w:tr>
      <w:tr>
        <w:tc>
          <w:tcPr>
            <w:tcW w:type="dxa" w:w="146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口径不一</w:t>
            </w:r>
          </w:p>
        </w:tc>
        <w:tc>
          <w:tcPr>
            <w:tcW w:type="dxa" w:w="127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REQ-5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三项指标并列 + 原始记录核对</w:t>
            </w:r>
          </w:p>
        </w:tc>
        <w:tc>
          <w:tcPr>
            <w:tcW w:type="dxa" w:w="264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跨团队统计周期需协调</w:t>
            </w:r>
          </w:p>
        </w:tc>
      </w:tr>
      <w:tr>
        <w:tc>
          <w:tcPr>
            <w:tcW w:type="dxa" w:w="146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越权与外发</w:t>
            </w:r>
          </w:p>
        </w:tc>
        <w:tc>
          <w:tcPr>
            <w:tcW w:type="dxa" w:w="127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REQ-6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只读、仅草稿、人工确认、可暂停</w:t>
            </w:r>
          </w:p>
        </w:tc>
        <w:tc>
          <w:tcPr>
            <w:tcW w:type="dxa" w:w="264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草稿被误用的恢复路径待设计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五、六条需求假设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六条假设不是功能清单，而是“如果这样改，哪类错误会减少”的可验证判断。每条都带优先级、责任人、证据与验收要点；状态统一为“待验证假设”，在试点数据出来之前不得写成结论。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10　六条需求假设（* f12 为虚构样本，仅用于说明问题形态，不得作为基线）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6"/>
      </w:tblPr>
      <w:tblGrid>
        <w:gridCol w:w="628"/>
        <w:gridCol w:w="673"/>
        <w:gridCol w:w="987"/>
        <w:gridCol w:w="2513"/>
        <w:gridCol w:w="1077"/>
        <w:gridCol w:w="2738"/>
      </w:tblGrid>
      <w:tr>
        <w:trPr>
          <w:tblHeader w:val="true"/>
        </w:trPr>
        <w:tc>
          <w:tcPr>
            <w:tcW w:type="dxa" w:w="628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编号</w:t>
            </w:r>
          </w:p>
        </w:tc>
        <w:tc>
          <w:tcPr>
            <w:tcW w:type="dxa" w:w="673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优先级</w:t>
            </w:r>
          </w:p>
        </w:tc>
        <w:tc>
          <w:tcPr>
            <w:tcW w:type="dxa" w:w="987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负责人</w:t>
            </w:r>
          </w:p>
        </w:tc>
        <w:tc>
          <w:tcPr>
            <w:tcW w:type="dxa" w:w="2513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需求假设</w:t>
            </w:r>
          </w:p>
        </w:tc>
        <w:tc>
          <w:tcPr>
            <w:tcW w:type="dxa" w:w="1077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关键证据</w:t>
            </w:r>
          </w:p>
        </w:tc>
        <w:tc>
          <w:tcPr>
            <w:tcW w:type="dxa" w:w="2738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验收要点</w:t>
            </w:r>
          </w:p>
        </w:tc>
      </w:tr>
      <w:tr>
        <w:tc>
          <w:tcPr>
            <w:tcW w:type="dxa" w:w="6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REQ-1</w:t>
            </w:r>
          </w:p>
        </w:tc>
        <w:tc>
          <w:tcPr>
            <w:tcW w:type="dxa" w:w="67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P0</w:t>
            </w:r>
          </w:p>
        </w:tc>
        <w:tc>
          <w:tcPr>
            <w:tcW w:type="dxa" w:w="98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唐映秋</w:t>
            </w:r>
          </w:p>
        </w:tc>
        <w:tc>
          <w:tcPr>
            <w:tcW w:type="dxa" w:w="251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以版本有效期与确认状态替代文件名判断，可减少旧通知引用导致的重复核对</w:t>
            </w:r>
          </w:p>
        </w:tc>
        <w:tc>
          <w:tcPr>
            <w:tcW w:type="dxa" w:w="107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f24、f10、f11、f12*</w:t>
            </w:r>
          </w:p>
        </w:tc>
        <w:tc>
          <w:tcPr>
            <w:tcW w:type="dxa" w:w="273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抽含时间/费用说法的问答，标当前/过期/未确认；以能否定位当前版本为通过条件</w:t>
            </w:r>
          </w:p>
        </w:tc>
      </w:tr>
      <w:tr>
        <w:tc>
          <w:tcPr>
            <w:tcW w:type="dxa" w:w="6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REQ-2</w:t>
            </w:r>
          </w:p>
        </w:tc>
        <w:tc>
          <w:tcPr>
            <w:tcW w:type="dxa" w:w="67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P0</w:t>
            </w:r>
          </w:p>
        </w:tc>
        <w:tc>
          <w:tcPr>
            <w:tcW w:type="dxa" w:w="98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秦芮、唐映秋</w:t>
            </w:r>
          </w:p>
        </w:tc>
        <w:tc>
          <w:tcPr>
            <w:tcW w:type="dxa" w:w="251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交接点需统一关联编号与责任清单，否则版本断链无法追溯</w:t>
            </w:r>
          </w:p>
        </w:tc>
        <w:tc>
          <w:tcPr>
            <w:tcW w:type="dxa" w:w="107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f30、f31、f23、f25</w:t>
            </w:r>
          </w:p>
        </w:tc>
        <w:tc>
          <w:tcPr>
            <w:tcW w:type="dxa" w:w="273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用脱敏只读导出做字段映射演练；重复编号/空时间/断链/单位差异均保留原行</w:t>
            </w:r>
          </w:p>
        </w:tc>
      </w:tr>
      <w:tr>
        <w:tc>
          <w:tcPr>
            <w:tcW w:type="dxa" w:w="6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REQ-3</w:t>
            </w:r>
          </w:p>
        </w:tc>
        <w:tc>
          <w:tcPr>
            <w:tcW w:type="dxa" w:w="67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P1</w:t>
            </w:r>
          </w:p>
        </w:tc>
        <w:tc>
          <w:tcPr>
            <w:tcW w:type="dxa" w:w="98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秦芮</w:t>
            </w:r>
          </w:p>
        </w:tc>
        <w:tc>
          <w:tcPr>
            <w:tcW w:type="dxa" w:w="251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回填时间不能作为发生时间，需双时间戳与快照兜底</w:t>
            </w:r>
          </w:p>
        </w:tc>
        <w:tc>
          <w:tcPr>
            <w:tcW w:type="dxa" w:w="107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f34、f35、f13</w:t>
            </w:r>
          </w:p>
        </w:tc>
        <w:tc>
          <w:tcPr>
            <w:tcW w:type="dxa" w:w="273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标注两类时间差异；模拟读取失败，验证快照 + 时间 + 人工核查提示</w:t>
            </w:r>
          </w:p>
        </w:tc>
      </w:tr>
      <w:tr>
        <w:tc>
          <w:tcPr>
            <w:tcW w:type="dxa" w:w="6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REQ-4</w:t>
            </w:r>
          </w:p>
        </w:tc>
        <w:tc>
          <w:tcPr>
            <w:tcW w:type="dxa" w:w="67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P1</w:t>
            </w:r>
          </w:p>
        </w:tc>
        <w:tc>
          <w:tcPr>
            <w:tcW w:type="dxa" w:w="98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傅景</w:t>
            </w:r>
          </w:p>
        </w:tc>
        <w:tc>
          <w:tcPr>
            <w:tcW w:type="dxa" w:w="251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兜底触发条件应扩展至来源不完整与授权不清，但需评审确认</w:t>
            </w:r>
          </w:p>
        </w:tc>
        <w:tc>
          <w:tcPr>
            <w:tcW w:type="dxa" w:w="107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f44、f40、f41</w:t>
            </w:r>
          </w:p>
        </w:tc>
        <w:tc>
          <w:tcPr>
            <w:tcW w:type="dxa" w:w="273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审核方出触发条件草案；兜底项全部进队列并留确认记录</w:t>
            </w:r>
          </w:p>
        </w:tc>
      </w:tr>
      <w:tr>
        <w:tc>
          <w:tcPr>
            <w:tcW w:type="dxa" w:w="6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REQ-5</w:t>
            </w:r>
          </w:p>
        </w:tc>
        <w:tc>
          <w:tcPr>
            <w:tcW w:type="dxa" w:w="67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P1</w:t>
            </w:r>
          </w:p>
        </w:tc>
        <w:tc>
          <w:tcPr>
            <w:tcW w:type="dxa" w:w="98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叶书</w:t>
            </w:r>
          </w:p>
        </w:tc>
        <w:tc>
          <w:tcPr>
            <w:tcW w:type="dxa" w:w="251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跨团队“完成”口径需统一为工时、返工与确认完整率组合</w:t>
            </w:r>
          </w:p>
        </w:tc>
        <w:tc>
          <w:tcPr>
            <w:tcW w:type="dxa" w:w="107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f51、f53、f55</w:t>
            </w:r>
          </w:p>
        </w:tc>
        <w:tc>
          <w:tcPr>
            <w:tcW w:type="dxa" w:w="273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周报三项并列；同一工单按原始记录核对数量/状态/截止时间；每周复盘误报漏报</w:t>
            </w:r>
          </w:p>
        </w:tc>
      </w:tr>
      <w:tr>
        <w:tc>
          <w:tcPr>
            <w:tcW w:type="dxa" w:w="62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REQ-6</w:t>
            </w:r>
          </w:p>
        </w:tc>
        <w:tc>
          <w:tcPr>
            <w:tcW w:type="dxa" w:w="67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P0</w:t>
            </w:r>
          </w:p>
        </w:tc>
        <w:tc>
          <w:tcPr>
            <w:tcW w:type="dxa" w:w="98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顾明岚</w:t>
            </w:r>
          </w:p>
        </w:tc>
        <w:tc>
          <w:tcPr>
            <w:tcW w:type="dxa" w:w="251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对外只发草稿、不自动发布收费或资格决定，是试点的不可逆风险边界</w:t>
            </w:r>
          </w:p>
        </w:tc>
        <w:tc>
          <w:tcPr>
            <w:tcW w:type="dxa" w:w="1077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f05、f52、f32、f42</w:t>
            </w:r>
          </w:p>
        </w:tc>
        <w:tc>
          <w:tcPr>
            <w:tcW w:type="dxa" w:w="273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草稿固定“未确认、不可对外”；抽查 80 条均关联来源与人工复核记录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5.1 假设之间的依赖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六条不是并列关系。REQ-2 提供“能对上号”的基础，没有统一编号，版本与时间都无法归属到具体工单；REQ-1 与 REQ-3 依赖 REQ-2 的字段，否则“当前版本”只能停留在口头；REQ-4 是兜底机制，决定前三条在不确定时如何停；REQ-5 是评价机制，防止用单一工时掩盖返工；REQ-6 是边界，独立于其他五条，但优先级最高——一旦越界，前面做得再好也不可逆。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617"/>
            <w:shd w:fill="F7F9FC"/>
            <w:tcBorders>
              <w:top w:val="single" w:sz="4" w:color="C9D3E3"/>
              <w:bottom w:val="single" w:sz="4" w:color="C9D3E3"/>
              <w:left w:val="single" w:sz="4" w:color="C9D3E3"/>
              <w:right w:val="single" w:sz="4" w:color="C9D3E3"/>
            </w:tcBorders>
            <w:tcMar>
              <w:top w:w="140" w:type="dxa"/>
              <w:bottom w:w="140" w:type="dxa"/>
              <w:start w:w="170" w:type="dxa"/>
              <w:end w:w="170" w:type="dxa"/>
            </w:tcMar>
          </w:tcPr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20"/>
              </w:rPr>
              <w:t>顺序建议</w:t>
            </w:r>
          </w:p>
          <w:p>
            <w:pPr>
              <w:spacing w:after="20" w:line="324" w:lineRule="auto"/>
            </w:pPr>
            <w:r>
              <w:rPr>
                <w:rFonts w:ascii="宋体" w:hAnsi="宋体" w:eastAsia="宋体"/>
                <w:b w:val="0"/>
                <w:i w:val="0"/>
                <w:color w:val="595959"/>
                <w:sz w:val="18"/>
              </w:rPr>
              <w:t>先把编号与字段打通（REQ-2），再做版本判定（REQ-1），同时落双时间与快照（REQ-3）；在试点第一周就把兜底规则与暂停权写死（REQ-4、REQ-6），最后用三项指标复盘（REQ-5）。反过来做，容易先做一个好看的问答界面，却在“依据哪一版”上继续失守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5.2 优先级判断依据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11　优先级判断：不可逆性优先于效率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851"/>
        <w:gridCol w:w="1809"/>
        <w:gridCol w:w="1702"/>
        <w:gridCol w:w="1489"/>
        <w:gridCol w:w="1596"/>
        <w:gridCol w:w="1170"/>
      </w:tblGrid>
      <w:tr>
        <w:trPr>
          <w:tblHeader w:val="true"/>
        </w:trPr>
        <w:tc>
          <w:tcPr>
            <w:tcW w:type="dxa" w:w="851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需求</w:t>
            </w:r>
          </w:p>
        </w:tc>
        <w:tc>
          <w:tcPr>
            <w:tcW w:type="dxa" w:w="1809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不可逆风险</w:t>
            </w:r>
          </w:p>
        </w:tc>
        <w:tc>
          <w:tcPr>
            <w:tcW w:type="dxa" w:w="1702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影响面</w:t>
            </w:r>
          </w:p>
        </w:tc>
        <w:tc>
          <w:tcPr>
            <w:tcW w:type="dxa" w:w="1489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依赖度</w:t>
            </w:r>
          </w:p>
        </w:tc>
        <w:tc>
          <w:tcPr>
            <w:tcW w:type="dxa" w:w="1596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可验证性</w:t>
            </w:r>
          </w:p>
        </w:tc>
        <w:tc>
          <w:tcPr>
            <w:tcW w:type="dxa" w:w="1170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结论</w:t>
            </w:r>
          </w:p>
        </w:tc>
      </w:tr>
      <w:tr>
        <w:tc>
          <w:tcPr>
            <w:tcW w:type="dxa" w:w="85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REQ-1</w:t>
            </w:r>
          </w:p>
        </w:tc>
        <w:tc>
          <w:tcPr>
            <w:tcW w:type="dxa" w:w="18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中</w:t>
            </w:r>
          </w:p>
        </w:tc>
        <w:tc>
          <w:tcPr>
            <w:tcW w:type="dxa" w:w="170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高（所有问答）</w:t>
            </w:r>
          </w:p>
        </w:tc>
        <w:tc>
          <w:tcPr>
            <w:tcW w:type="dxa" w:w="148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依赖 REQ-2</w:t>
            </w:r>
          </w:p>
        </w:tc>
        <w:tc>
          <w:tcPr>
            <w:tcW w:type="dxa" w:w="159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高（可逐条标注）</w:t>
            </w:r>
          </w:p>
        </w:tc>
        <w:tc>
          <w:tcPr>
            <w:tcW w:type="dxa" w:w="117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P0：先做</w:t>
            </w:r>
          </w:p>
        </w:tc>
      </w:tr>
      <w:tr>
        <w:tc>
          <w:tcPr>
            <w:tcW w:type="dxa" w:w="85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REQ-2</w:t>
            </w:r>
          </w:p>
        </w:tc>
        <w:tc>
          <w:tcPr>
            <w:tcW w:type="dxa" w:w="18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低</w:t>
            </w:r>
          </w:p>
        </w:tc>
        <w:tc>
          <w:tcPr>
            <w:tcW w:type="dxa" w:w="170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高（跨系统）</w:t>
            </w:r>
          </w:p>
        </w:tc>
        <w:tc>
          <w:tcPr>
            <w:tcW w:type="dxa" w:w="148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基础</w:t>
            </w:r>
          </w:p>
        </w:tc>
        <w:tc>
          <w:tcPr>
            <w:tcW w:type="dxa" w:w="159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中（需导出样本）</w:t>
            </w:r>
          </w:p>
        </w:tc>
        <w:tc>
          <w:tcPr>
            <w:tcW w:type="dxa" w:w="117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P0：先做</w:t>
            </w:r>
          </w:p>
        </w:tc>
      </w:tr>
      <w:tr>
        <w:tc>
          <w:tcPr>
            <w:tcW w:type="dxa" w:w="85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REQ-3</w:t>
            </w:r>
          </w:p>
        </w:tc>
        <w:tc>
          <w:tcPr>
            <w:tcW w:type="dxa" w:w="18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中</w:t>
            </w:r>
          </w:p>
        </w:tc>
        <w:tc>
          <w:tcPr>
            <w:tcW w:type="dxa" w:w="170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高（时效与统计）</w:t>
            </w:r>
          </w:p>
        </w:tc>
        <w:tc>
          <w:tcPr>
            <w:tcW w:type="dxa" w:w="148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依赖 REQ-2</w:t>
            </w:r>
          </w:p>
        </w:tc>
        <w:tc>
          <w:tcPr>
            <w:tcW w:type="dxa" w:w="159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高（可模拟失败）</w:t>
            </w:r>
          </w:p>
        </w:tc>
        <w:tc>
          <w:tcPr>
            <w:tcW w:type="dxa" w:w="117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P1：并行</w:t>
            </w:r>
          </w:p>
        </w:tc>
      </w:tr>
      <w:tr>
        <w:tc>
          <w:tcPr>
            <w:tcW w:type="dxa" w:w="85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REQ-4</w:t>
            </w:r>
          </w:p>
        </w:tc>
        <w:tc>
          <w:tcPr>
            <w:tcW w:type="dxa" w:w="18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高（默认通过）</w:t>
            </w:r>
          </w:p>
        </w:tc>
        <w:tc>
          <w:tcPr>
            <w:tcW w:type="dxa" w:w="170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中（兜底项）</w:t>
            </w:r>
          </w:p>
        </w:tc>
        <w:tc>
          <w:tcPr>
            <w:tcW w:type="dxa" w:w="148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依赖 REQ-1/2</w:t>
            </w:r>
          </w:p>
        </w:tc>
        <w:tc>
          <w:tcPr>
            <w:tcW w:type="dxa" w:w="159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中（需评审）</w:t>
            </w:r>
          </w:p>
        </w:tc>
        <w:tc>
          <w:tcPr>
            <w:tcW w:type="dxa" w:w="117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P1：评审后定</w:t>
            </w:r>
          </w:p>
        </w:tc>
      </w:tr>
      <w:tr>
        <w:tc>
          <w:tcPr>
            <w:tcW w:type="dxa" w:w="85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REQ-5</w:t>
            </w:r>
          </w:p>
        </w:tc>
        <w:tc>
          <w:tcPr>
            <w:tcW w:type="dxa" w:w="18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低</w:t>
            </w:r>
          </w:p>
        </w:tc>
        <w:tc>
          <w:tcPr>
            <w:tcW w:type="dxa" w:w="170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高（评价导向）</w:t>
            </w:r>
          </w:p>
        </w:tc>
        <w:tc>
          <w:tcPr>
            <w:tcW w:type="dxa" w:w="148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依赖全部</w:t>
            </w:r>
          </w:p>
        </w:tc>
        <w:tc>
          <w:tcPr>
            <w:tcW w:type="dxa" w:w="159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高（周报可比）</w:t>
            </w:r>
          </w:p>
        </w:tc>
        <w:tc>
          <w:tcPr>
            <w:tcW w:type="dxa" w:w="117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P1：试点即用</w:t>
            </w:r>
          </w:p>
        </w:tc>
      </w:tr>
      <w:tr>
        <w:tc>
          <w:tcPr>
            <w:tcW w:type="dxa" w:w="85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REQ-6</w:t>
            </w:r>
          </w:p>
        </w:tc>
        <w:tc>
          <w:tcPr>
            <w:tcW w:type="dxa" w:w="180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极高（对外承诺）</w:t>
            </w:r>
          </w:p>
        </w:tc>
        <w:tc>
          <w:tcPr>
            <w:tcW w:type="dxa" w:w="170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极高</w:t>
            </w:r>
          </w:p>
        </w:tc>
        <w:tc>
          <w:tcPr>
            <w:tcW w:type="dxa" w:w="148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独立</w:t>
            </w:r>
          </w:p>
        </w:tc>
        <w:tc>
          <w:tcPr>
            <w:tcW w:type="dxa" w:w="1596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高（可抽查）</w:t>
            </w:r>
          </w:p>
        </w:tc>
        <w:tc>
          <w:tcPr>
            <w:tcW w:type="dxa" w:w="117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P0：一票否决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六、数据与规则资产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要让“依据哪一版”可回答，先要把字段定清楚。以下字段清单来自现状工具的实际列，加上试点必须新增的最小字段；新增字段一律允许为空，但空值必须能区分“没有”与“没确认”。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6.1 关键字段清单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12　工单、版本、交接与审计的关键字段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6"/>
      </w:tblPr>
      <w:tblGrid>
        <w:gridCol w:w="881"/>
        <w:gridCol w:w="2252"/>
        <w:gridCol w:w="3231"/>
        <w:gridCol w:w="2252"/>
      </w:tblGrid>
      <w:tr>
        <w:trPr>
          <w:tblHeader w:val="true"/>
        </w:trPr>
        <w:tc>
          <w:tcPr>
            <w:tcW w:type="dxa" w:w="881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实体</w:t>
            </w:r>
          </w:p>
        </w:tc>
        <w:tc>
          <w:tcPr>
            <w:tcW w:type="dxa" w:w="2252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字段</w:t>
            </w:r>
          </w:p>
        </w:tc>
        <w:tc>
          <w:tcPr>
            <w:tcW w:type="dxa" w:w="3231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说明</w:t>
            </w:r>
          </w:p>
        </w:tc>
        <w:tc>
          <w:tcPr>
            <w:tcW w:type="dxa" w:w="2252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缺失/异常处理</w:t>
            </w:r>
          </w:p>
        </w:tc>
      </w:tr>
      <w:tr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工单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咨询演练编号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统一关联编号，跨三套工具一致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缺失即进人工队列，不补造</w:t>
            </w:r>
          </w:p>
        </w:tc>
      </w:tr>
      <w:tr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工单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展会批次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试点只覆盖单一批次（如 2026-S1）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批次不在白名单 → 拒绝处理</w:t>
            </w:r>
          </w:p>
        </w:tc>
      </w:tr>
      <w:tr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工单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问题类别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费用/资格/时间/展位/物流/证件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无法归类 → 标记“未确认”</w:t>
            </w:r>
          </w:p>
        </w:tc>
      </w:tr>
      <w:tr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工单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业务发生时间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展商实际提出咨询的时间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缺失 ≠ 未确认；分别记录</w:t>
            </w:r>
          </w:p>
        </w:tc>
      </w:tr>
      <w:tr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工单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系统接收时间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工单进入系统的时间（可能回填）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回填超阈值 → 标记回填</w:t>
            </w:r>
          </w:p>
        </w:tc>
      </w:tr>
      <w:tr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工单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接收人 / 处理人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责任到人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缺失 → 不进入草稿</w:t>
            </w:r>
          </w:p>
        </w:tc>
      </w:tr>
      <w:tr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版本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版本编号 / 通知编号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唯一标识，替代文件名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缺失 → 跳过该版本并记问题</w:t>
            </w:r>
          </w:p>
        </w:tc>
      </w:tr>
      <w:tr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版本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有效期起止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判定“当时是否有效”的唯一依据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缺失 → 不可判定为当前</w:t>
            </w:r>
          </w:p>
        </w:tc>
      </w:tr>
      <w:tr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版本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确认状态 / 确认人 / 确认时间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谁确认、何时确认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未确认不得覆盖已确认版本</w:t>
            </w:r>
          </w:p>
        </w:tc>
      </w:tr>
      <w:tr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版本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作废标记 / 作废原因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作废仍保留原因，供追溯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原因缺失 → 记为不完整</w:t>
            </w:r>
          </w:p>
        </w:tc>
      </w:tr>
      <w:tr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交接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最新版本 / 未确认项 / 截止时间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交接三件套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缺任一项 → 交接不完整</w:t>
            </w:r>
          </w:p>
        </w:tc>
      </w:tr>
      <w:tr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审计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谁查过 / 何版本 / 何建议 / 谁确认</w:t>
            </w:r>
          </w:p>
        </w:tc>
        <w:tc>
          <w:tcPr>
            <w:tcW w:type="dxa" w:w="323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审计最小集</w:t>
            </w:r>
          </w:p>
        </w:tc>
        <w:tc>
          <w:tcPr>
            <w:tcW w:type="dxa" w:w="225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缺项 → 不允许宣称可审计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6.2 缺失、未确认与无效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13　四态区分：缺失 ≠ 未确认 ≠ 无效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791"/>
        <w:gridCol w:w="2022"/>
        <w:gridCol w:w="1935"/>
        <w:gridCol w:w="2198"/>
        <w:gridCol w:w="1671"/>
      </w:tblGrid>
      <w:tr>
        <w:trPr>
          <w:tblHeader w:val="true"/>
        </w:trPr>
        <w:tc>
          <w:tcPr>
            <w:tcW w:type="dxa" w:w="791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状态</w:t>
            </w:r>
          </w:p>
        </w:tc>
        <w:tc>
          <w:tcPr>
            <w:tcW w:type="dxa" w:w="2022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含义</w:t>
            </w:r>
          </w:p>
        </w:tc>
        <w:tc>
          <w:tcPr>
            <w:tcW w:type="dxa" w:w="1935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示例</w:t>
            </w:r>
          </w:p>
        </w:tc>
        <w:tc>
          <w:tcPr>
            <w:tcW w:type="dxa" w:w="2198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系统处置</w:t>
            </w:r>
          </w:p>
        </w:tc>
        <w:tc>
          <w:tcPr>
            <w:tcW w:type="dxa" w:w="1671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禁止做法</w:t>
            </w:r>
          </w:p>
        </w:tc>
      </w:tr>
      <w:tr>
        <w:tc>
          <w:tcPr>
            <w:tcW w:type="dxa" w:w="79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缺失</w:t>
            </w:r>
          </w:p>
        </w:tc>
        <w:tc>
          <w:tcPr>
            <w:tcW w:type="dxa" w:w="202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该字段从未填写</w:t>
            </w:r>
          </w:p>
        </w:tc>
        <w:tc>
          <w:tcPr>
            <w:tcW w:type="dxa" w:w="193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空字符串</w:t>
            </w:r>
          </w:p>
        </w:tc>
        <w:tc>
          <w:tcPr>
            <w:tcW w:type="dxa" w:w="219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记 MISSING，进队列</w:t>
            </w:r>
          </w:p>
        </w:tc>
        <w:tc>
          <w:tcPr>
            <w:tcW w:type="dxa" w:w="167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用默认值补齐</w:t>
            </w:r>
          </w:p>
        </w:tc>
      </w:tr>
      <w:tr>
        <w:tc>
          <w:tcPr>
            <w:tcW w:type="dxa" w:w="79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未确认</w:t>
            </w:r>
          </w:p>
        </w:tc>
        <w:tc>
          <w:tcPr>
            <w:tcW w:type="dxa" w:w="202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填了但未经授权人确认</w:t>
            </w:r>
          </w:p>
        </w:tc>
        <w:tc>
          <w:tcPr>
            <w:tcW w:type="dxa" w:w="193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“未确认”“待核实”</w:t>
            </w:r>
          </w:p>
        </w:tc>
        <w:tc>
          <w:tcPr>
            <w:tcW w:type="dxa" w:w="219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记 UNCONFIRMED，不参与判定</w:t>
            </w:r>
          </w:p>
        </w:tc>
        <w:tc>
          <w:tcPr>
            <w:tcW w:type="dxa" w:w="167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当作已确认使用</w:t>
            </w:r>
          </w:p>
        </w:tc>
      </w:tr>
      <w:tr>
        <w:tc>
          <w:tcPr>
            <w:tcW w:type="dxa" w:w="79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无效</w:t>
            </w:r>
          </w:p>
        </w:tc>
        <w:tc>
          <w:tcPr>
            <w:tcW w:type="dxa" w:w="202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格式不合法，无法解析</w:t>
            </w:r>
          </w:p>
        </w:tc>
        <w:tc>
          <w:tcPr>
            <w:tcW w:type="dxa" w:w="193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“下周三”“待定”</w:t>
            </w:r>
          </w:p>
        </w:tc>
        <w:tc>
          <w:tcPr>
            <w:tcW w:type="dxa" w:w="219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记 INVALID，保留原值</w:t>
            </w:r>
          </w:p>
        </w:tc>
        <w:tc>
          <w:tcPr>
            <w:tcW w:type="dxa" w:w="167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猜测成某个日期</w:t>
            </w:r>
          </w:p>
        </w:tc>
      </w:tr>
      <w:tr>
        <w:tc>
          <w:tcPr>
            <w:tcW w:type="dxa" w:w="79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有效</w:t>
            </w:r>
          </w:p>
        </w:tc>
        <w:tc>
          <w:tcPr>
            <w:tcW w:type="dxa" w:w="202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可解析且已确认</w:t>
            </w:r>
          </w:p>
        </w:tc>
        <w:tc>
          <w:tcPr>
            <w:tcW w:type="dxa" w:w="193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2026-10-12 09:10</w:t>
            </w:r>
          </w:p>
        </w:tc>
        <w:tc>
          <w:tcPr>
            <w:tcW w:type="dxa" w:w="219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参与判定与统计</w:t>
            </w:r>
          </w:p>
        </w:tc>
        <w:tc>
          <w:tcPr>
            <w:tcW w:type="dxa" w:w="167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6.3 版本状态定义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14　版本四态的判定与处置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808"/>
        <w:gridCol w:w="2962"/>
        <w:gridCol w:w="1975"/>
        <w:gridCol w:w="2872"/>
      </w:tblGrid>
      <w:tr>
        <w:trPr>
          <w:tblHeader w:val="true"/>
        </w:trPr>
        <w:tc>
          <w:tcPr>
            <w:tcW w:type="dxa" w:w="808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状态</w:t>
            </w:r>
          </w:p>
        </w:tc>
        <w:tc>
          <w:tcPr>
            <w:tcW w:type="dxa" w:w="2962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判定条件</w:t>
            </w:r>
          </w:p>
        </w:tc>
        <w:tc>
          <w:tcPr>
            <w:tcW w:type="dxa" w:w="1975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能否生成回复草稿</w:t>
            </w:r>
          </w:p>
        </w:tc>
        <w:tc>
          <w:tcPr>
            <w:tcW w:type="dxa" w:w="2872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处置</w:t>
            </w:r>
          </w:p>
        </w:tc>
      </w:tr>
      <w:tr>
        <w:tc>
          <w:tcPr>
            <w:tcW w:type="dxa" w:w="80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当前</w:t>
            </w:r>
          </w:p>
        </w:tc>
        <w:tc>
          <w:tcPr>
            <w:tcW w:type="dxa" w:w="296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有效期覆盖业务发生时间，且已确认、未作废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可以（仍需人工确认）</w:t>
            </w:r>
          </w:p>
        </w:tc>
        <w:tc>
          <w:tcPr>
            <w:tcW w:type="dxa" w:w="287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引用版本号、有效期、确认人</w:t>
            </w:r>
          </w:p>
        </w:tc>
      </w:tr>
      <w:tr>
        <w:tc>
          <w:tcPr>
            <w:tcW w:type="dxa" w:w="80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过期</w:t>
            </w:r>
          </w:p>
        </w:tc>
        <w:tc>
          <w:tcPr>
            <w:tcW w:type="dxa" w:w="296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有效期已结束，或已作废（保留原因）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不可以</w:t>
            </w:r>
          </w:p>
        </w:tc>
        <w:tc>
          <w:tcPr>
            <w:tcW w:type="dxa" w:w="287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进队列，提示查找当前版本</w:t>
            </w:r>
          </w:p>
        </w:tc>
      </w:tr>
      <w:tr>
        <w:tc>
          <w:tcPr>
            <w:tcW w:type="dxa" w:w="80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未确认</w:t>
            </w:r>
          </w:p>
        </w:tc>
        <w:tc>
          <w:tcPr>
            <w:tcW w:type="dxa" w:w="296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无确认人/确认时间，或存在冲突版本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不可以</w:t>
            </w:r>
          </w:p>
        </w:tc>
        <w:tc>
          <w:tcPr>
            <w:tcW w:type="dxa" w:w="287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进队列，由审核方确认</w:t>
            </w:r>
          </w:p>
        </w:tc>
      </w:tr>
      <w:tr>
        <w:tc>
          <w:tcPr>
            <w:tcW w:type="dxa" w:w="80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断链</w:t>
            </w:r>
          </w:p>
        </w:tc>
        <w:tc>
          <w:tcPr>
            <w:tcW w:type="dxa" w:w="296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替代关系指向不存在的版本</w:t>
            </w:r>
          </w:p>
        </w:tc>
        <w:tc>
          <w:tcPr>
            <w:tcW w:type="dxa" w:w="197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不可以</w:t>
            </w:r>
          </w:p>
        </w:tc>
        <w:tc>
          <w:tcPr>
            <w:tcW w:type="dxa" w:w="287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进队列，先修链再判定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6.4 审计最小集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审计不是留一份最终摘要，而是能回答四个问题：谁查过这张工单、当时用的是哪一版、提了什么建议、谁最终确认。四问缺一，事后就无法复盘。原始版本、修订原因与确认人必须留存；只允许删除虚构的个人字段，版本链不能断。</w:t>
      </w:r>
    </w:p>
    <w:p>
      <w:r>
        <w:br w:type="page"/>
      </w: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七、机会点与最小闭环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7.1 机会矩阵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15　机会点评估：先做可逆、可验证的部分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2154"/>
        <w:gridCol w:w="1469"/>
        <w:gridCol w:w="1665"/>
        <w:gridCol w:w="881"/>
        <w:gridCol w:w="2448"/>
      </w:tblGrid>
      <w:tr>
        <w:trPr>
          <w:tblHeader w:val="true"/>
        </w:trPr>
        <w:tc>
          <w:tcPr>
            <w:tcW w:type="dxa" w:w="2154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机会点</w:t>
            </w:r>
          </w:p>
        </w:tc>
        <w:tc>
          <w:tcPr>
            <w:tcW w:type="dxa" w:w="1469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业务影响</w:t>
            </w:r>
          </w:p>
        </w:tc>
        <w:tc>
          <w:tcPr>
            <w:tcW w:type="dxa" w:w="1665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落地可行性</w:t>
            </w:r>
          </w:p>
        </w:tc>
        <w:tc>
          <w:tcPr>
            <w:tcW w:type="dxa" w:w="881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优先级</w:t>
            </w:r>
          </w:p>
        </w:tc>
        <w:tc>
          <w:tcPr>
            <w:tcW w:type="dxa" w:w="2448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理由</w:t>
            </w:r>
          </w:p>
        </w:tc>
      </w:tr>
      <w:tr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版本有效期 + 确认状态</w:t>
            </w:r>
          </w:p>
        </w:tc>
        <w:tc>
          <w:tcPr>
            <w:tcW w:type="dxa" w:w="146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</w:t>
            </w:r>
          </w:p>
        </w:tc>
        <w:tc>
          <w:tcPr>
            <w:tcW w:type="dxa" w:w="166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高（字段可补）</w:t>
            </w:r>
          </w:p>
        </w:tc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P0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直接消除“旧通知”类错误</w:t>
            </w:r>
          </w:p>
        </w:tc>
      </w:tr>
      <w:tr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统一关联编号</w:t>
            </w:r>
          </w:p>
        </w:tc>
        <w:tc>
          <w:tcPr>
            <w:tcW w:type="dxa" w:w="146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</w:t>
            </w:r>
          </w:p>
        </w:tc>
        <w:tc>
          <w:tcPr>
            <w:tcW w:type="dxa" w:w="166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中（跨系统）</w:t>
            </w:r>
          </w:p>
        </w:tc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P0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一切追溯的前提</w:t>
            </w:r>
          </w:p>
        </w:tc>
      </w:tr>
      <w:tr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双时间戳 + 快照</w:t>
            </w:r>
          </w:p>
        </w:tc>
        <w:tc>
          <w:tcPr>
            <w:tcW w:type="dxa" w:w="146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中高</w:t>
            </w:r>
          </w:p>
        </w:tc>
        <w:tc>
          <w:tcPr>
            <w:tcW w:type="dxa" w:w="166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高（系统改造小）</w:t>
            </w:r>
          </w:p>
        </w:tc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P1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让时效统计可信</w:t>
            </w:r>
          </w:p>
        </w:tc>
      </w:tr>
      <w:tr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兜底队列 + 暂停权</w:t>
            </w:r>
          </w:p>
        </w:tc>
        <w:tc>
          <w:tcPr>
            <w:tcW w:type="dxa" w:w="146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高（防不可逆）</w:t>
            </w:r>
          </w:p>
        </w:tc>
        <w:tc>
          <w:tcPr>
            <w:tcW w:type="dxa" w:w="166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高（管理动作）</w:t>
            </w:r>
          </w:p>
        </w:tc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P0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不确定时停，而不是默认通过</w:t>
            </w:r>
          </w:p>
        </w:tc>
      </w:tr>
      <w:tr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三项指标周报</w:t>
            </w:r>
          </w:p>
        </w:tc>
        <w:tc>
          <w:tcPr>
            <w:tcW w:type="dxa" w:w="146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中</w:t>
            </w:r>
          </w:p>
        </w:tc>
        <w:tc>
          <w:tcPr>
            <w:tcW w:type="dxa" w:w="166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高（数据已有）</w:t>
            </w:r>
          </w:p>
        </w:tc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P1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防止单一工时误导</w:t>
            </w:r>
          </w:p>
        </w:tc>
      </w:tr>
      <w:tr>
        <w:tc>
          <w:tcPr>
            <w:tcW w:type="dxa" w:w="215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自动问答/写回</w:t>
            </w:r>
          </w:p>
        </w:tc>
        <w:tc>
          <w:tcPr>
            <w:tcW w:type="dxa" w:w="146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</w:t>
            </w:r>
          </w:p>
        </w:tc>
        <w:tc>
          <w:tcPr>
            <w:tcW w:type="dxa" w:w="166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低（越界）</w:t>
            </w:r>
          </w:p>
        </w:tc>
        <w:tc>
          <w:tcPr>
            <w:tcW w:type="dxa" w:w="88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暂不做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不可逆风险，需另行授权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7.2 最小可试点闭环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v1 只做一件事：在一个批次内，让每条回复都能回答“依据哪一版、谁确认、有没有未确认项”。闭环由五步组成，任何一步失败都进入人工队列，而不是跳过。</w:t>
      </w:r>
    </w:p>
    <w:p>
      <w:pPr>
        <w:spacing w:after="60" w:line="336" w:lineRule="auto"/>
        <w:ind w:left="425" w:hanging="255"/>
      </w:pPr>
      <w:r>
        <w:rPr>
          <w:rFonts w:ascii="宋体" w:hAnsi="宋体" w:eastAsia="宋体"/>
          <w:b w:val="0"/>
          <w:i w:val="0"/>
          <w:color w:val="2E5496"/>
          <w:sz w:val="21"/>
        </w:rPr>
        <w:t xml:space="preserve">• </w:t>
      </w:r>
      <w:r>
        <w:rPr>
          <w:rFonts w:ascii="宋体" w:hAnsi="宋体" w:eastAsia="宋体"/>
          <w:b/>
          <w:i w:val="0"/>
          <w:sz w:val="21"/>
        </w:rPr>
        <w:t xml:space="preserve">① </w:t>
      </w:r>
      <w:r>
        <w:rPr>
          <w:rFonts w:ascii="宋体" w:hAnsi="宋体" w:eastAsia="宋体"/>
          <w:b w:val="0"/>
          <w:i w:val="0"/>
          <w:sz w:val="21"/>
        </w:rPr>
        <w:t>只读接入：脱敏导出四张表（工单、台账、文件索引、交接），不连生产、不写回。</w:t>
      </w:r>
    </w:p>
    <w:p>
      <w:pPr>
        <w:spacing w:after="60" w:line="336" w:lineRule="auto"/>
        <w:ind w:left="425" w:hanging="255"/>
      </w:pPr>
      <w:r>
        <w:rPr>
          <w:rFonts w:ascii="宋体" w:hAnsi="宋体" w:eastAsia="宋体"/>
          <w:b w:val="0"/>
          <w:i w:val="0"/>
          <w:color w:val="2E5496"/>
          <w:sz w:val="21"/>
        </w:rPr>
        <w:t xml:space="preserve">• </w:t>
      </w:r>
      <w:r>
        <w:rPr>
          <w:rFonts w:ascii="宋体" w:hAnsi="宋体" w:eastAsia="宋体"/>
          <w:b/>
          <w:i w:val="0"/>
          <w:sz w:val="21"/>
        </w:rPr>
        <w:t xml:space="preserve">② </w:t>
      </w:r>
      <w:r>
        <w:rPr>
          <w:rFonts w:ascii="宋体" w:hAnsi="宋体" w:eastAsia="宋体"/>
          <w:b w:val="0"/>
          <w:i w:val="0"/>
          <w:sz w:val="21"/>
        </w:rPr>
        <w:t>版本判定：按有效期 + 确认状态 + 版本链给出当前/过期/未确认，并列出被排除的版本及原因。</w:t>
      </w:r>
    </w:p>
    <w:p>
      <w:pPr>
        <w:spacing w:after="60" w:line="336" w:lineRule="auto"/>
        <w:ind w:left="425" w:hanging="255"/>
      </w:pPr>
      <w:r>
        <w:rPr>
          <w:rFonts w:ascii="宋体" w:hAnsi="宋体" w:eastAsia="宋体"/>
          <w:b w:val="0"/>
          <w:i w:val="0"/>
          <w:color w:val="2E5496"/>
          <w:sz w:val="21"/>
        </w:rPr>
        <w:t xml:space="preserve">• </w:t>
      </w:r>
      <w:r>
        <w:rPr>
          <w:rFonts w:ascii="宋体" w:hAnsi="宋体" w:eastAsia="宋体"/>
          <w:b/>
          <w:i w:val="0"/>
          <w:sz w:val="21"/>
        </w:rPr>
        <w:t xml:space="preserve">③ </w:t>
      </w:r>
      <w:r>
        <w:rPr>
          <w:rFonts w:ascii="宋体" w:hAnsi="宋体" w:eastAsia="宋体"/>
          <w:b w:val="0"/>
          <w:i w:val="0"/>
          <w:sz w:val="21"/>
        </w:rPr>
        <w:t>草稿生成：固定“未确认 · 不可对外”标识，附来源行号与未确认项；收费/资格类直接阻塞。</w:t>
      </w:r>
    </w:p>
    <w:p>
      <w:pPr>
        <w:spacing w:after="60" w:line="336" w:lineRule="auto"/>
        <w:ind w:left="425" w:hanging="255"/>
      </w:pPr>
      <w:r>
        <w:rPr>
          <w:rFonts w:ascii="宋体" w:hAnsi="宋体" w:eastAsia="宋体"/>
          <w:b w:val="0"/>
          <w:i w:val="0"/>
          <w:color w:val="2E5496"/>
          <w:sz w:val="21"/>
        </w:rPr>
        <w:t xml:space="preserve">• </w:t>
      </w:r>
      <w:r>
        <w:rPr>
          <w:rFonts w:ascii="宋体" w:hAnsi="宋体" w:eastAsia="宋体"/>
          <w:b/>
          <w:i w:val="0"/>
          <w:sz w:val="21"/>
        </w:rPr>
        <w:t xml:space="preserve">④ </w:t>
      </w:r>
      <w:r>
        <w:rPr>
          <w:rFonts w:ascii="宋体" w:hAnsi="宋体" w:eastAsia="宋体"/>
          <w:b w:val="0"/>
          <w:i w:val="0"/>
          <w:sz w:val="21"/>
        </w:rPr>
        <w:t>人工确认：授权人逐项确认，确认记录进哈希链；未确认项不得归到对方名下。</w:t>
      </w:r>
    </w:p>
    <w:p>
      <w:pPr>
        <w:spacing w:after="60" w:line="336" w:lineRule="auto"/>
        <w:ind w:left="425" w:hanging="255"/>
      </w:pPr>
      <w:r>
        <w:rPr>
          <w:rFonts w:ascii="宋体" w:hAnsi="宋体" w:eastAsia="宋体"/>
          <w:b w:val="0"/>
          <w:i w:val="0"/>
          <w:color w:val="2E5496"/>
          <w:sz w:val="21"/>
        </w:rPr>
        <w:t xml:space="preserve">• </w:t>
      </w:r>
      <w:r>
        <w:rPr>
          <w:rFonts w:ascii="宋体" w:hAnsi="宋体" w:eastAsia="宋体"/>
          <w:b/>
          <w:i w:val="0"/>
          <w:sz w:val="21"/>
        </w:rPr>
        <w:t xml:space="preserve">⑤ </w:t>
      </w:r>
      <w:r>
        <w:rPr>
          <w:rFonts w:ascii="宋体" w:hAnsi="宋体" w:eastAsia="宋体"/>
          <w:b w:val="0"/>
          <w:i w:val="0"/>
          <w:sz w:val="21"/>
        </w:rPr>
        <w:t>周报复盘：工时、返工、确认完整率三项并列，另登记误报、漏报与未确认项。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7.3 v1 明确不做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16　v1 的非目标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1763"/>
        <w:gridCol w:w="3329"/>
        <w:gridCol w:w="3525"/>
      </w:tblGrid>
      <w:tr>
        <w:trPr>
          <w:tblHeader w:val="true"/>
        </w:trPr>
        <w:tc>
          <w:tcPr>
            <w:tcW w:type="dxa" w:w="1763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不做</w:t>
            </w:r>
          </w:p>
        </w:tc>
        <w:tc>
          <w:tcPr>
            <w:tcW w:type="dxa" w:w="3329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原因</w:t>
            </w:r>
          </w:p>
        </w:tc>
        <w:tc>
          <w:tcPr>
            <w:tcW w:type="dxa" w:w="3525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7"/>
              </w:rPr>
              <w:t>何时再议</w:t>
            </w:r>
          </w:p>
        </w:tc>
      </w:tr>
      <w:tr>
        <w:tc>
          <w:tcPr>
            <w:tcW w:type="dxa" w:w="17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自动向展商发送</w:t>
            </w:r>
          </w:p>
        </w:tc>
        <w:tc>
          <w:tcPr>
            <w:tcW w:type="dxa" w:w="332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对外承诺不可逆，模型无审批权</w:t>
            </w:r>
          </w:p>
        </w:tc>
        <w:tc>
          <w:tcPr>
            <w:tcW w:type="dxa" w:w="352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不在 v1 范围；需另行授权与法务评审</w:t>
            </w:r>
          </w:p>
        </w:tc>
      </w:tr>
      <w:tr>
        <w:tc>
          <w:tcPr>
            <w:tcW w:type="dxa" w:w="17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自动判定收费/资格</w:t>
            </w:r>
          </w:p>
        </w:tc>
        <w:tc>
          <w:tcPr>
            <w:tcW w:type="dxa" w:w="332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涉及资金与资格，错误代价高</w:t>
            </w:r>
          </w:p>
        </w:tc>
        <w:tc>
          <w:tcPr>
            <w:tcW w:type="dxa" w:w="352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仅在人工确认后由系统记录，不自动决定</w:t>
            </w:r>
          </w:p>
        </w:tc>
      </w:tr>
      <w:tr>
        <w:tc>
          <w:tcPr>
            <w:tcW w:type="dxa" w:w="17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写回服务台/台账</w:t>
            </w:r>
          </w:p>
        </w:tc>
        <w:tc>
          <w:tcPr>
            <w:tcW w:type="dxa" w:w="332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破坏源系统责任边界</w:t>
            </w:r>
          </w:p>
        </w:tc>
        <w:tc>
          <w:tcPr>
            <w:tcW w:type="dxa" w:w="352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若确需，先做只读对账，再评审写接口</w:t>
            </w:r>
          </w:p>
        </w:tc>
      </w:tr>
      <w:tr>
        <w:tc>
          <w:tcPr>
            <w:tcW w:type="dxa" w:w="17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跨批次/全公司推广</w:t>
            </w:r>
          </w:p>
        </w:tc>
        <w:tc>
          <w:tcPr>
            <w:tcW w:type="dxa" w:w="332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口径未验证，容易放大错误</w:t>
            </w:r>
          </w:p>
        </w:tc>
        <w:tc>
          <w:tcPr>
            <w:tcW w:type="dxa" w:w="352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单批次试点通过验收后</w:t>
            </w:r>
          </w:p>
        </w:tc>
      </w:tr>
      <w:tr>
        <w:tc>
          <w:tcPr>
            <w:tcW w:type="dxa" w:w="17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向量检索/大模型问答</w:t>
            </w:r>
          </w:p>
        </w:tc>
        <w:tc>
          <w:tcPr>
            <w:tcW w:type="dxa" w:w="332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先把版本与留痕做对，再谈生成</w:t>
            </w:r>
          </w:p>
        </w:tc>
        <w:tc>
          <w:tcPr>
            <w:tcW w:type="dxa" w:w="352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v2 评估，需独立的数据与合规评审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八、待验证清单与下一步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8.1 八个必须追问的问题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17　八条待验证问题（对应报告 followUps）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2374"/>
        <w:gridCol w:w="2374"/>
        <w:gridCol w:w="1759"/>
        <w:gridCol w:w="2110"/>
      </w:tblGrid>
      <w:tr>
        <w:trPr>
          <w:tblHeader w:val="true"/>
        </w:trPr>
        <w:tc>
          <w:tcPr>
            <w:tcW w:type="dxa" w:w="2374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问题</w:t>
            </w:r>
          </w:p>
        </w:tc>
        <w:tc>
          <w:tcPr>
            <w:tcW w:type="dxa" w:w="2374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为什么重要</w:t>
            </w:r>
          </w:p>
        </w:tc>
        <w:tc>
          <w:tcPr>
            <w:tcW w:type="dxa" w:w="1759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找谁</w:t>
            </w:r>
          </w:p>
        </w:tc>
        <w:tc>
          <w:tcPr>
            <w:tcW w:type="dxa" w:w="2110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期望产出</w:t>
            </w:r>
          </w:p>
        </w:tc>
      </w:tr>
      <w:tr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旧版本通知的实际占比是多少？</w:t>
            </w:r>
          </w:p>
        </w:tc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决定 REQ-1 的收益是否成立</w:t>
            </w:r>
          </w:p>
        </w:tc>
        <w:tc>
          <w:tcPr>
            <w:tcW w:type="dxa" w:w="175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流程协调员</w:t>
            </w:r>
          </w:p>
        </w:tc>
        <w:tc>
          <w:tcPr>
            <w:tcW w:type="dxa" w:w="21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近 3 个月抽查统计</w:t>
            </w:r>
          </w:p>
        </w:tc>
      </w:tr>
      <w:tr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统一编号由哪个系统生成？</w:t>
            </w:r>
          </w:p>
        </w:tc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决定 REQ-2 能否落地</w:t>
            </w:r>
          </w:p>
        </w:tc>
        <w:tc>
          <w:tcPr>
            <w:tcW w:type="dxa" w:w="175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数字化工程师</w:t>
            </w:r>
          </w:p>
        </w:tc>
        <w:tc>
          <w:tcPr>
            <w:tcW w:type="dxa" w:w="21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编号规则与责任人</w:t>
            </w:r>
          </w:p>
        </w:tc>
      </w:tr>
      <w:tr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快照保留多久、恢复后是否要重拉？</w:t>
            </w:r>
          </w:p>
        </w:tc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决定 REQ-3 的运维成本</w:t>
            </w:r>
          </w:p>
        </w:tc>
        <w:tc>
          <w:tcPr>
            <w:tcW w:type="dxa" w:w="175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数字化 + 审核</w:t>
            </w:r>
          </w:p>
        </w:tc>
        <w:tc>
          <w:tcPr>
            <w:tcW w:type="dxa" w:w="21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保留期与恢复流程</w:t>
            </w:r>
          </w:p>
        </w:tc>
      </w:tr>
      <w:tr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例外由谁认定、依据什么？</w:t>
            </w:r>
          </w:p>
        </w:tc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决定 REQ-4 的触发边界</w:t>
            </w:r>
          </w:p>
        </w:tc>
        <w:tc>
          <w:tcPr>
            <w:tcW w:type="dxa" w:w="175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业务负责人</w:t>
            </w:r>
          </w:p>
        </w:tc>
        <w:tc>
          <w:tcPr>
            <w:tcW w:type="dxa" w:w="21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书面授权矩阵</w:t>
            </w:r>
          </w:p>
        </w:tc>
      </w:tr>
      <w:tr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“完成”的共同定义是什么？</w:t>
            </w:r>
          </w:p>
        </w:tc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决定 REQ-5 的指标口径</w:t>
            </w:r>
          </w:p>
        </w:tc>
        <w:tc>
          <w:tcPr>
            <w:tcW w:type="dxa" w:w="175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客户协同 + 审核</w:t>
            </w:r>
          </w:p>
        </w:tc>
        <w:tc>
          <w:tcPr>
            <w:tcW w:type="dxa" w:w="21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三项指标定义与取数</w:t>
            </w:r>
          </w:p>
        </w:tc>
      </w:tr>
      <w:tr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草稿被误当承诺后如何恢复？</w:t>
            </w:r>
          </w:p>
        </w:tc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决定 REQ-6 的补救路径</w:t>
            </w:r>
          </w:p>
        </w:tc>
        <w:tc>
          <w:tcPr>
            <w:tcW w:type="dxa" w:w="175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业务 + 法务</w:t>
            </w:r>
          </w:p>
        </w:tc>
        <w:tc>
          <w:tcPr>
            <w:tcW w:type="dxa" w:w="21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撤回与更正流程</w:t>
            </w:r>
          </w:p>
        </w:tc>
      </w:tr>
      <w:tr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80 条抽查是否沿用、如何抽样？</w:t>
            </w:r>
          </w:p>
        </w:tc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决定验收是否可复现</w:t>
            </w:r>
          </w:p>
        </w:tc>
        <w:tc>
          <w:tcPr>
            <w:tcW w:type="dxa" w:w="175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审核与质量负责人</w:t>
            </w:r>
          </w:p>
        </w:tc>
        <w:tc>
          <w:tcPr>
            <w:tcW w:type="dxa" w:w="21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抽样方案与记录表</w:t>
            </w:r>
          </w:p>
        </w:tc>
      </w:tr>
      <w:tr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审计凭证如何导出、保存多久？</w:t>
            </w:r>
          </w:p>
        </w:tc>
        <w:tc>
          <w:tcPr>
            <w:tcW w:type="dxa" w:w="2374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决定可追溯性能否被验证</w:t>
            </w:r>
          </w:p>
        </w:tc>
        <w:tc>
          <w:tcPr>
            <w:tcW w:type="dxa" w:w="1759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数字化 + 审核</w:t>
            </w:r>
          </w:p>
        </w:tc>
        <w:tc>
          <w:tcPr>
            <w:tcW w:type="dxa" w:w="21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导出格式与保存期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8.2 证据缺口</w:t>
      </w:r>
    </w:p>
    <w:p>
      <w:pPr>
        <w:spacing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sz w:val="21"/>
        </w:rPr>
        <w:t>以下数据在本次挖掘中不存在，任何引用都必须标注“未核实”：旧版本占比、检索耗时、单量与峰谷、快照保留期、例外认定权归属、正式抽查量、草稿误用后的恢复时长、审计凭证的保存期限。缺少这些数据不影响“先做只读试点”的判断，但足以否定任何“效率提升 X%”的承诺。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E5496"/>
          <w:sz w:val="23"/>
        </w:rPr>
        <w:t>8.3 下一步</w:t>
      </w:r>
    </w:p>
    <w:p>
      <w:pPr>
        <w:spacing w:after="60" w:line="336" w:lineRule="auto"/>
        <w:ind w:left="425" w:hanging="255"/>
      </w:pPr>
      <w:r>
        <w:rPr>
          <w:rFonts w:ascii="宋体" w:hAnsi="宋体" w:eastAsia="宋体"/>
          <w:b w:val="0"/>
          <w:i w:val="0"/>
          <w:color w:val="2E5496"/>
          <w:sz w:val="21"/>
        </w:rPr>
        <w:t xml:space="preserve">• </w:t>
      </w:r>
      <w:r>
        <w:rPr>
          <w:rFonts w:ascii="宋体" w:hAnsi="宋体" w:eastAsia="宋体"/>
          <w:b/>
          <w:i w:val="0"/>
          <w:sz w:val="21"/>
        </w:rPr>
        <w:t xml:space="preserve">① </w:t>
      </w:r>
      <w:r>
        <w:rPr>
          <w:rFonts w:ascii="宋体" w:hAnsi="宋体" w:eastAsia="宋体"/>
          <w:b w:val="0"/>
          <w:i w:val="0"/>
          <w:sz w:val="21"/>
        </w:rPr>
        <w:t>第 0 周：确认批次、导出四张表、指定四类责任人（业务、流程、审核、数字化）。</w:t>
      </w:r>
    </w:p>
    <w:p>
      <w:pPr>
        <w:spacing w:after="60" w:line="336" w:lineRule="auto"/>
        <w:ind w:left="425" w:hanging="255"/>
      </w:pPr>
      <w:r>
        <w:rPr>
          <w:rFonts w:ascii="宋体" w:hAnsi="宋体" w:eastAsia="宋体"/>
          <w:b w:val="0"/>
          <w:i w:val="0"/>
          <w:color w:val="2E5496"/>
          <w:sz w:val="21"/>
        </w:rPr>
        <w:t xml:space="preserve">• </w:t>
      </w:r>
      <w:r>
        <w:rPr>
          <w:rFonts w:ascii="宋体" w:hAnsi="宋体" w:eastAsia="宋体"/>
          <w:b/>
          <w:i w:val="0"/>
          <w:sz w:val="21"/>
        </w:rPr>
        <w:t xml:space="preserve">② </w:t>
      </w:r>
      <w:r>
        <w:rPr>
          <w:rFonts w:ascii="宋体" w:hAnsi="宋体" w:eastAsia="宋体"/>
          <w:b w:val="0"/>
          <w:i w:val="0"/>
          <w:sz w:val="21"/>
        </w:rPr>
        <w:t>第 1 周：跑通版本判定与草稿，抽取 20 条做人工对照，记录误报与漏报。</w:t>
      </w:r>
    </w:p>
    <w:p>
      <w:pPr>
        <w:spacing w:after="60" w:line="336" w:lineRule="auto"/>
        <w:ind w:left="425" w:hanging="255"/>
      </w:pPr>
      <w:r>
        <w:rPr>
          <w:rFonts w:ascii="宋体" w:hAnsi="宋体" w:eastAsia="宋体"/>
          <w:b w:val="0"/>
          <w:i w:val="0"/>
          <w:color w:val="2E5496"/>
          <w:sz w:val="21"/>
        </w:rPr>
        <w:t xml:space="preserve">• </w:t>
      </w:r>
      <w:r>
        <w:rPr>
          <w:rFonts w:ascii="宋体" w:hAnsi="宋体" w:eastAsia="宋体"/>
          <w:b/>
          <w:i w:val="0"/>
          <w:sz w:val="21"/>
        </w:rPr>
        <w:t xml:space="preserve">③ </w:t>
      </w:r>
      <w:r>
        <w:rPr>
          <w:rFonts w:ascii="宋体" w:hAnsi="宋体" w:eastAsia="宋体"/>
          <w:b w:val="0"/>
          <w:i w:val="0"/>
          <w:sz w:val="21"/>
        </w:rPr>
        <w:t>第 2–4 周：按试点手册执行，周会固定复盘三项指标与未确认项，必要时暂停。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617"/>
            <w:shd w:fill="F7F9FC"/>
            <w:tcBorders>
              <w:top w:val="single" w:sz="4" w:color="C9D3E3"/>
              <w:bottom w:val="single" w:sz="4" w:color="C9D3E3"/>
              <w:left w:val="single" w:sz="4" w:color="C9D3E3"/>
              <w:right w:val="single" w:sz="4" w:color="C9D3E3"/>
            </w:tcBorders>
            <w:tcMar>
              <w:top w:w="140" w:type="dxa"/>
              <w:bottom w:w="140" w:type="dxa"/>
              <w:start w:w="170" w:type="dxa"/>
              <w:end w:w="170" w:type="dxa"/>
            </w:tcMar>
          </w:tcPr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20"/>
              </w:rPr>
              <w:t>结论</w:t>
            </w:r>
          </w:p>
          <w:p>
            <w:pPr>
              <w:spacing w:after="20" w:line="324" w:lineRule="auto"/>
            </w:pPr>
            <w:r>
              <w:rPr>
                <w:rFonts w:ascii="宋体" w:hAnsi="宋体" w:eastAsia="宋体"/>
                <w:b w:val="0"/>
                <w:i w:val="0"/>
                <w:color w:val="595959"/>
                <w:sz w:val="18"/>
              </w:rPr>
              <w:t>现状的核心问题不是“答得慢”，而是“答得对不对无法证明”。因此 v1 的价值不在于自动回复，而在于把版本、时间、编号与确认四件事变成可查的记录；只有这四件事成立，后续的任何智能化才有意义。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附录 A　关键事实索引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A-1　正文引用的关键事实（节选）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8"/>
      </w:tblPr>
      <w:tblGrid>
        <w:gridCol w:w="663"/>
        <w:gridCol w:w="5745"/>
        <w:gridCol w:w="2210"/>
      </w:tblGrid>
      <w:tr>
        <w:trPr>
          <w:tblHeader w:val="true"/>
        </w:trPr>
        <w:tc>
          <w:tcPr>
            <w:tcW w:type="dxa" w:w="663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编号</w:t>
            </w:r>
          </w:p>
        </w:tc>
        <w:tc>
          <w:tcPr>
            <w:tcW w:type="dxa" w:w="5745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事实摘要</w:t>
            </w:r>
          </w:p>
        </w:tc>
        <w:tc>
          <w:tcPr>
            <w:tcW w:type="dxa" w:w="2210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6"/>
              </w:rPr>
              <w:t>在正文中的位置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f01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咨询接收→分类→版本检索→转派→审核五段链路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2.2 / 流程图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f04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审核方保留停止试点的权力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3.2 / REQ-6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f05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试点只生成草稿，不自动对外发布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5 / 7.3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f10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旧通知导致时间/费用口径不一致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4.2 / REQ-1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f11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展位调整后旧说明仍指原区域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4.2 / REQ-1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f12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虚构样本：900 次咨询、55% 重复（不得作基线）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表 10 注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f13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先群消息解决、后补填表格，回填时间≠发生时间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4.1 / REQ-3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f20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交接需记录接收人、版本、未结项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2.2 / 表 3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f22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模型无审批权，正式结论须授权人确认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3.2 / REQ-6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f23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未确认项不得归到对方名下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4.1 / REQ-2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f24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以有效期 + 确认状态替代文件名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5 / REQ-1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f30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三套工具无统一关联编号，只能人工比对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2.3 / REQ-2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f32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仅脱敏只读导出，写回/外发/执行接口不开放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7.3 / REQ-6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f34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过期来源不得覆盖已确认新版本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6.3 / REQ-3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f35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读取失败保留上次快照并提示人工核查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REQ-3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f42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抽查 80 条问答均关联来源与人工复核记录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8.1 / REQ-6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f43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只删虚构个人字段，版本链不能断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6.4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f45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审计可见谁查过、何版本、何建议、谁确认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6.4 / 表 12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f51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工时、返工、确认完整率三项并列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REQ-5 / 表 15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f52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不自动发布收费或资格决定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7.3 / REQ-6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f53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按原始记录核对，不比两张汇总表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REQ-5</w:t>
            </w:r>
          </w:p>
        </w:tc>
      </w:tr>
      <w:tr>
        <w:tc>
          <w:tcPr>
            <w:tcW w:type="dxa" w:w="663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f55</w:t>
            </w:r>
          </w:p>
        </w:tc>
        <w:tc>
          <w:tcPr>
            <w:tcW w:type="dxa" w:w="574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每周复盘误报、漏报、未确认项</w:t>
            </w:r>
          </w:p>
        </w:tc>
        <w:tc>
          <w:tcPr>
            <w:tcW w:type="dxa" w:w="2210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6"/>
              </w:rPr>
              <w:t>7.2 / REQ-5</w:t>
            </w:r>
          </w:p>
        </w:tc>
      </w:tr>
    </w:tbl>
    <w:p>
      <w:pPr>
        <w:spacing w:after="40"/>
      </w:pPr>
    </w:p>
    <w:p>
      <w:pPr>
        <w:keepNext/>
        <w:spacing w:before="320" w:after="140"/>
        <w:pBdr>
          <w:bottom w:val="single" w:sz="6" w:space="4" w:color="BFD0E8"/>
        </w:pBdr>
      </w:pPr>
      <w:r>
        <w:rPr>
          <w:rFonts w:ascii="微软雅黑" w:hAnsi="微软雅黑" w:eastAsia="微软雅黑"/>
          <w:b/>
          <w:i w:val="0"/>
          <w:color w:val="1F3864"/>
          <w:sz w:val="29"/>
        </w:rPr>
        <w:t>附录 B　术语表</w:t>
      </w:r>
    </w:p>
    <w:p>
      <w:pPr>
        <w:keepNext/>
        <w:spacing w:before="80" w:after="40"/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7"/>
        </w:rPr>
        <w:t>表 B-1　术语表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8617"/>
      </w:tblPr>
      <w:tblGrid>
        <w:gridCol w:w="1915"/>
        <w:gridCol w:w="6702"/>
      </w:tblGrid>
      <w:tr>
        <w:trPr>
          <w:tblHeader w:val="true"/>
        </w:trPr>
        <w:tc>
          <w:tcPr>
            <w:tcW w:type="dxa" w:w="1915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8"/>
              </w:rPr>
              <w:t>术语</w:t>
            </w:r>
          </w:p>
        </w:tc>
        <w:tc>
          <w:tcPr>
            <w:tcW w:type="dxa" w:w="6702"/>
            <w:shd w:fill="DCE6F1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3864"/>
                <w:sz w:val="18"/>
              </w:rPr>
              <w:t>含义</w:t>
            </w:r>
          </w:p>
        </w:tc>
      </w:tr>
      <w:tr>
        <w:tc>
          <w:tcPr>
            <w:tcW w:type="dxa" w:w="191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业务发生时间</w:t>
            </w:r>
          </w:p>
        </w:tc>
        <w:tc>
          <w:tcPr>
            <w:tcW w:type="dxa" w:w="670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展商实际提出咨询的时间，可能早于系统录入时间</w:t>
            </w:r>
          </w:p>
        </w:tc>
      </w:tr>
      <w:tr>
        <w:tc>
          <w:tcPr>
            <w:tcW w:type="dxa" w:w="191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系统接收时间</w:t>
            </w:r>
          </w:p>
        </w:tc>
        <w:tc>
          <w:tcPr>
            <w:tcW w:type="dxa" w:w="670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工单进入系统的时间；回填场景下不可作为发生时间</w:t>
            </w:r>
          </w:p>
        </w:tc>
      </w:tr>
      <w:tr>
        <w:tc>
          <w:tcPr>
            <w:tcW w:type="dxa" w:w="191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当前版本</w:t>
            </w:r>
          </w:p>
        </w:tc>
        <w:tc>
          <w:tcPr>
            <w:tcW w:type="dxa" w:w="670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有效期覆盖业务发生时间、已确认且未作废的版本</w:t>
            </w:r>
          </w:p>
        </w:tc>
      </w:tr>
      <w:tr>
        <w:tc>
          <w:tcPr>
            <w:tcW w:type="dxa" w:w="191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版本链</w:t>
            </w:r>
          </w:p>
        </w:tc>
        <w:tc>
          <w:tcPr>
            <w:tcW w:type="dxa" w:w="670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版本之间的替代关系；断链即无法证明新旧</w:t>
            </w:r>
          </w:p>
        </w:tc>
      </w:tr>
      <w:tr>
        <w:tc>
          <w:tcPr>
            <w:tcW w:type="dxa" w:w="191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兜底队列</w:t>
            </w:r>
          </w:p>
        </w:tc>
        <w:tc>
          <w:tcPr>
            <w:tcW w:type="dxa" w:w="670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无法确认版本或关键字段时的人工处理队列</w:t>
            </w:r>
          </w:p>
        </w:tc>
      </w:tr>
      <w:tr>
        <w:tc>
          <w:tcPr>
            <w:tcW w:type="dxa" w:w="191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不可逆边界</w:t>
            </w:r>
          </w:p>
        </w:tc>
        <w:tc>
          <w:tcPr>
            <w:tcW w:type="dxa" w:w="670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一旦执行就无法撤回的动作边界，如对外承诺收费或资格</w:t>
            </w:r>
          </w:p>
        </w:tc>
      </w:tr>
      <w:tr>
        <w:tc>
          <w:tcPr>
            <w:tcW w:type="dxa" w:w="191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确认完整率</w:t>
            </w:r>
          </w:p>
        </w:tc>
        <w:tc>
          <w:tcPr>
            <w:tcW w:type="dxa" w:w="670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已确认项 / 应确认项；与工时、返工并列使用</w:t>
            </w:r>
          </w:p>
        </w:tc>
      </w:tr>
      <w:tr>
        <w:tc>
          <w:tcPr>
            <w:tcW w:type="dxa" w:w="1915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快照</w:t>
            </w:r>
          </w:p>
        </w:tc>
        <w:tc>
          <w:tcPr>
            <w:tcW w:type="dxa" w:w="6702"/>
            <w:vAlign w:val="center"/>
            <w:tcMar>
              <w:top w:w="40" w:type="dxa"/>
              <w:bottom w:w="40" w:type="dxa"/>
              <w:start w:w="90" w:type="dxa"/>
              <w:end w:w="90" w:type="dxa"/>
            </w:tcMar>
            <w:shd w:fill="F4F7FB"/>
          </w:tcPr>
          <w:p>
            <w:pPr>
              <w:spacing w:after="20" w:line="288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上一次成功读取的原始导出，读取失败时用于兜底并标记时间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247" w:header="680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595959"/>
        <w:sz w:val="17"/>
      </w:rPr>
      <w:t xml:space="preserve">第 </w:t>
    </w:r>
    <w:r>
      <w:rPr>
        <w:rFonts w:ascii="宋体" w:hAnsi="宋体" w:eastAsia="宋体"/>
        <w:b w:val="0"/>
        <w:i w:val="0"/>
        <w:color w:val="59595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eastAsia="宋体"/>
        <w:b w:val="0"/>
        <w:i w:val="0"/>
        <w:color w:val="595959"/>
        <w:sz w:val="17"/>
      </w:rPr>
      <w:t xml:space="preserve"> 页 · 共 </w:t>
    </w:r>
    <w:r>
      <w:rPr>
        <w:rFonts w:ascii="宋体" w:hAnsi="宋体" w:eastAsia="宋体"/>
        <w:b w:val="0"/>
        <w:i w:val="0"/>
        <w:color w:val="595959"/>
        <w:sz w:val="17"/>
      </w:rPr>
      <w:fldChar w:fldCharType="begin"/>
      <w:instrText xml:space="preserve"> NUMPAGES </w:instrText>
      <w:fldChar w:fldCharType="separate"/>
      <w:t>1</w:t>
      <w:fldChar w:fldCharType="end"/>
    </w:r>
    <w:r>
      <w:rPr>
        <w:rFonts w:ascii="宋体" w:hAnsi="宋体" w:eastAsia="宋体"/>
        <w:b w:val="0"/>
        <w:i w:val="0"/>
        <w:color w:val="595959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b w:val="0"/>
        <w:i w:val="0"/>
        <w:color w:val="7F7F7F"/>
        <w:sz w:val="16"/>
      </w:rPr>
      <w:t>展商咨询工单版本追溯 · v1 设计方案　|　内部资料 · 合成样本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展商咨询工单业务挖掘报告</dc:title>
  <dc:subject>基于 36 条访谈事实的现状诊断与六条需求假设（实验室系统生成）</dc:subject>
  <dc:creator>业务分析组</dc:creator>
  <cp:keywords/>
  <dc:description>v1 设计方案 · 合成样本数据 · 只读试点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