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</w:pPr>
      <w:r>
        <w:rPr>
          <w:rFonts w:ascii="微软雅黑" w:hAnsi="微软雅黑" w:eastAsia="微软雅黑"/>
          <w:b/>
          <w:i w:val="0"/>
          <w:color w:val="2E5496"/>
          <w:sz w:val="20"/>
        </w:rPr>
        <w:t>v1 设计方案 · 02</w:t>
      </w:r>
    </w:p>
    <w:p>
      <w:pPr>
        <w:spacing w:before="360" w:after="120"/>
        <w:pBdr>
          <w:bottom w:val="single" w:sz="12" w:space="10" w:color="1F3864"/>
        </w:pBdr>
      </w:pPr>
      <w:r>
        <w:rPr>
          <w:rFonts w:ascii="微软雅黑" w:hAnsi="微软雅黑" w:eastAsia="微软雅黑"/>
          <w:b/>
          <w:i w:val="0"/>
          <w:color w:val="1F3864"/>
          <w:sz w:val="52"/>
        </w:rPr>
        <w:t>会展行业数字化与</w:t>
        <w:br/>
        <w:t>展商咨询服务分析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595959"/>
          <w:sz w:val="26"/>
        </w:rPr>
        <w:t>从行业结构、服务模式到版本治理：一个只读试点的落点</w:t>
      </w:r>
    </w:p>
    <w:p/>
    <w:p/>
    <w:tbl>
      <w:tblPr>
        <w:jc w:val="center"/>
        <w:tblLook w:firstColumn="1" w:firstRow="1" w:lastColumn="0" w:lastRow="0" w:noHBand="0" w:noVBand="1" w:val="04A0"/>
        <w:tblLayout w:type="fixed"/>
        <w:tblW w:type="dxa" w:w="8390"/>
      </w:tblPr>
      <w:tblGrid>
        <w:gridCol w:w="2381"/>
        <w:gridCol w:w="6009"/>
      </w:tblGrid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文档编号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v1-IA-001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版本 / 日期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v1.0 / 2026-10-23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适用项目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展商咨询工单版本追溯（expo-ticket-trace）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分析范围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中国境内经贸类展览的展商服务环节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数据性质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公开数据 + 定性判断；不含未核实统计</w:t>
            </w:r>
          </w:p>
        </w:tc>
      </w:tr>
    </w:tbl>
    <w:p/>
    <w:p/>
    <w:tbl>
      <w:tblPr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8617"/>
      </w:tblGrid>
      <w:tr>
        <w:tc>
          <w:tcPr>
            <w:tcW w:type="dxa" w:w="8617"/>
            <w:shd w:fill="F7F9FC"/>
            <w:tcBorders>
              <w:top w:val="single" w:sz="4" w:color="C9D3E3"/>
              <w:bottom w:val="single" w:sz="4" w:color="C9D3E3"/>
              <w:left w:val="single" w:sz="4" w:color="C9D3E3"/>
              <w:right w:val="single" w:sz="4" w:color="C9D3E3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说明：本报告用于 v1 方案立项与范围界定，不是投资或采购决策依据。文中仅 2024 年展览场次、面积与增速三项为公开统计口径，其余为定性判断，已在文中标注“定性”。案例数据来自合成访谈，人物与指标均为虚构。</w:t>
            </w:r>
          </w:p>
        </w:tc>
      </w:tr>
    </w:tbl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摘要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会展行业的数字化投入长期集中在“招展—观众—现场”三段，展商在展前、展中、展后的咨询与服务却仍是人力密集、口径分散的环节。对主办方而言，这部分工作不直接产生展位收入，却直接决定展商续订与口碑；对展商而言，一次费用或资格口径的错误答复，可能演变为投诉与退款争议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本报告给出四个判断：第一，行业规模仍在扩张，增量更多来自专业展与产业带展会，展商对“确定性”的要求高于对“更多功能”的要求；第二，展商服务的核心矛盾不是缺少知识，而是知识存在多个版本且缺少可追溯的判定规则；第三，通用大模型可以降低表达成本，但不能替代版本治理与责任确认，直接对外生成答复会放大合规风险；第四，可落地的第一步是“只读 + 草稿 + 审计”，把判定过程变成可复核的记录，再谈自动化。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　行业判断与 v1 设计的对应关系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2041"/>
        <w:gridCol w:w="3742"/>
        <w:gridCol w:w="2835"/>
      </w:tblGrid>
      <w:tr>
        <w:trPr>
          <w:tblHeader w:val="true"/>
        </w:trPr>
        <w:tc>
          <w:tcPr>
            <w:tcW w:type="dxa" w:w="204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结论</w:t>
            </w:r>
          </w:p>
        </w:tc>
        <w:tc>
          <w:tcPr>
            <w:tcW w:type="dxa" w:w="374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依据</w:t>
            </w:r>
          </w:p>
        </w:tc>
        <w:tc>
          <w:tcPr>
            <w:tcW w:type="dxa" w:w="283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对 v1 的含义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市场仍在增长，但增速与结构分化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2024 年境内经贸类展会 3,844 场、展览总面积 1.55 亿平方米、面积同比 +10.1%（公开统计）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单批次试点有足够样本，但不宜按“全量上线”设计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展商服务是续订关键触点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行业普遍把展商满意度纳入主办方考核（定性）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优先解决“答复不一致”，而非增加功能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知识多头、版本失序是通病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服务台、台账、文件库三套工具并存（案例事实，行业常见）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版本判定与统一编号是刚需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生成式 AI 的边界在“责任”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对外发布涉及费用与资格，属于不可逆动作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只生成草稿，审批权留在人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审计能力决定能否推广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合规要求“可解释、可追溯”（定性）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哈希链与确认记录先于自动化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一、行业边界与分析口径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1.1 行业边界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本报告讨论的“会展行业”指以展览、会议、活动为核心的专业服务链条，包括主办方（PCO）、场馆方、搭建与物流服务商、票务与观众组织方，以及为上述主体提供系统与运营服务的科技公司。展商咨询服务属于主办方展商服务的一部分，覆盖报名、资质审核、展位分配、费用与发票、搭建与物流、证件与现场服务等环节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需要区分两类主体：一类是拥有自有展会品牌与年度排期的主办方，其知识以“通知/规则/展商手册”形式按届更新；另一类是承接多个展会项目的运营服务商，其知识同时来自多个主办方，版本冲突更频繁。本项目的案例主体属于前者，但方案对后者同样适用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1.2 数据口径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行业统计常见口径包括“展览数量”“展览面积”“经贸类/消费类”“境内/境外”。不同机构口径差异较大，直接混用会得出相反结论。本报告只采用一个可核验口径：中国贸促会《中国展览经济发展报告 2024》公布的 2024 年境内经贸类展览数据。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　本报告采用的行业数据（仅此三项为统计口径）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6"/>
      </w:tblPr>
      <w:tblGrid>
        <w:gridCol w:w="2494"/>
        <w:gridCol w:w="1814"/>
        <w:gridCol w:w="1814"/>
        <w:gridCol w:w="2494"/>
      </w:tblGrid>
      <w:tr>
        <w:trPr>
          <w:tblHeader w:val="true"/>
        </w:trPr>
        <w:tc>
          <w:tcPr>
            <w:tcW w:type="dxa" w:w="249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指标</w:t>
            </w:r>
          </w:p>
        </w:tc>
        <w:tc>
          <w:tcPr>
            <w:tcW w:type="dxa" w:w="181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数值</w:t>
            </w:r>
          </w:p>
        </w:tc>
        <w:tc>
          <w:tcPr>
            <w:tcW w:type="dxa" w:w="181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口径说明</w:t>
            </w:r>
          </w:p>
        </w:tc>
        <w:tc>
          <w:tcPr>
            <w:tcW w:type="dxa" w:w="249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来源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境内经贸类展会数量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3,844 场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2024 年，经贸类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中国贸促会《中国展览经济发展报告 2024》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展览总面积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1.55 亿平方米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同上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同上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面积同比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+10.1%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同上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同上</w:t>
            </w:r>
          </w:p>
        </w:tc>
      </w:tr>
    </w:tbl>
    <w:p>
      <w:pPr>
        <w:spacing w:after="40"/>
      </w:pPr>
    </w:p>
    <w:p>
      <w:pPr>
        <w:spacing w:line="348" w:lineRule="auto"/>
        <w:ind w:firstLine="380"/>
        <w:jc w:val="both"/>
      </w:pPr>
      <w:r>
        <w:rPr>
          <w:rFonts w:ascii="宋体" w:hAnsi="宋体" w:eastAsia="宋体"/>
          <w:b w:val="0"/>
          <w:i w:val="0"/>
          <w:color w:val="595959"/>
          <w:sz w:val="19"/>
        </w:rPr>
        <w:t>除上述三项外，本报告不引用未核实的百分比、金额或排名。凡涉及行业普遍做法的描述，均标注“定性”，表示来自公开资料与项目经验的归纳，不作为统计结论。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1.3 分析方法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分析采用“结构—流程—系统—风险”四层框架：先看行业结构与参与者，再看展商服务的端到端流程，然后看支撑流程的系统与数据，最后看合规与不可逆风险。该方法与业务挖掘报告使用的框架一致，便于把行业判断直接映射到需求条目。</w:t>
      </w: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二、市场结构与需求变化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2.1 市场结构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从供给看，行业呈“头部展会品牌 + 大量中小专业展”的结构。头部展会依托产业带与买家资源，展位长期供不应求，服务压力集中在展商资质与现场协调；中小展会则更依赖渠道招展，对展商体验更敏感。两类主体的共同点是：展商服务团队规模有限，旺季靠临时支援，知识传递高度依赖个人经验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从需求看，展商参展目标从“拿到展位”转向“拿到线索与订单”。这使得展商在展前就会提出大量与效果相关的问题：观众结构、同期活动、媒体曝光、买家配对。这类问题没有标准答案，但恰恰最容易被“看起来很确定”的自动答复误导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2.2 展商咨询的三个变化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3　展商咨询需求侧变化（定性）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701"/>
        <w:gridCol w:w="4082"/>
        <w:gridCol w:w="2835"/>
      </w:tblGrid>
      <w:tr>
        <w:trPr>
          <w:tblHeader w:val="true"/>
        </w:trPr>
        <w:tc>
          <w:tcPr>
            <w:tcW w:type="dxa" w:w="170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变化</w:t>
            </w:r>
          </w:p>
        </w:tc>
        <w:tc>
          <w:tcPr>
            <w:tcW w:type="dxa" w:w="408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表现</w:t>
            </w:r>
          </w:p>
        </w:tc>
        <w:tc>
          <w:tcPr>
            <w:tcW w:type="dxa" w:w="283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对服务的要求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渠道碎片化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电话、邮件、微信、系统工单并行，群消息先答复、表格后补录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统一受理与统一编号，避免“谁先看到谁处理”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时效压缩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展前两周咨询量陡增，答复慢直接影响签约与搭建安排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把可判定的部分自动化，把不可判定的部分快速分派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口径敏感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费用、折扣、参展资格、退款政策一旦说错，纠正成本高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版本有效期 + 确认状态 + 审批留痕，而不是靠文件名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这三个变化共同指向一个结论：展商服务的问题不是“知识不够多”，而是“同一问题在不同时间、不同人手里得到不同答案”。行业里常见的应对是加人、加群、加表格，短期有效，长期让版本更加分散。</w:t>
      </w: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三、供给侧数字化现状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3.1 三类系统与一条暗线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多数主办方的展商服务由三类系统支撑：内部服务台（工单与流转）、业务台账（展位、费用、合同）、文件库（通知、手册、图纸）。三套系统各自有编号体系，工单在系统之间靠人工比对，形成一条“暗线”：真正的处理过程发生在群消息与个人表格里，系统里留下的是事后补录的结果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这条暗线带来两个后果。其一，时间失真：回填时间被当作业务发生时间，导致“按发生时间适用哪一版规则”无法判断。其二，责任失真：交接只留一句“已处理”，没有版本、未结项和接收人，出问题时无法定位是规则错、执行错还是版本错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3.2 数字化成熟度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4　展商服务数字化成熟度（定性划分）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616"/>
        <w:gridCol w:w="2908"/>
        <w:gridCol w:w="2370"/>
        <w:gridCol w:w="1723"/>
      </w:tblGrid>
      <w:tr>
        <w:trPr>
          <w:tblHeader w:val="true"/>
        </w:trPr>
        <w:tc>
          <w:tcPr>
            <w:tcW w:type="dxa" w:w="161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阶段</w:t>
            </w:r>
          </w:p>
        </w:tc>
        <w:tc>
          <w:tcPr>
            <w:tcW w:type="dxa" w:w="290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特征</w:t>
            </w:r>
          </w:p>
        </w:tc>
        <w:tc>
          <w:tcPr>
            <w:tcW w:type="dxa" w:w="237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典型问题</w:t>
            </w:r>
          </w:p>
        </w:tc>
        <w:tc>
          <w:tcPr>
            <w:tcW w:type="dxa" w:w="172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本项目的判断</w:t>
            </w:r>
          </w:p>
        </w:tc>
      </w:tr>
      <w:tr>
        <w:tc>
          <w:tcPr>
            <w:tcW w:type="dxa" w:w="16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L1 手工台账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Excel + 群消息，无统一编号</w:t>
            </w:r>
          </w:p>
        </w:tc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找不到、对不上、说不清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案例主体接近 L1–L2</w:t>
            </w:r>
          </w:p>
        </w:tc>
      </w:tr>
      <w:tr>
        <w:tc>
          <w:tcPr>
            <w:tcW w:type="dxa" w:w="16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L2 工单化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有服务台，工单可流转</w:t>
            </w:r>
          </w:p>
        </w:tc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字段不全、版本不关联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只解决“有没有记录”</w:t>
            </w:r>
          </w:p>
        </w:tc>
      </w:tr>
      <w:tr>
        <w:tc>
          <w:tcPr>
            <w:tcW w:type="dxa" w:w="16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L3 版本治理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统一编号、有效期、确认状态、版本链</w:t>
            </w:r>
          </w:p>
        </w:tc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需要规则与责任清单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v1 的目标阶段</w:t>
            </w:r>
          </w:p>
        </w:tc>
      </w:tr>
      <w:tr>
        <w:tc>
          <w:tcPr>
            <w:tcW w:type="dxa" w:w="16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L4 可审计智能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自动判定 + 人在环 + 全链审计</w:t>
            </w:r>
          </w:p>
        </w:tc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需要组织授权与数据治理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v1 之后</w:t>
            </w:r>
          </w:p>
        </w:tc>
      </w:tr>
      <w:tr>
        <w:tc>
          <w:tcPr>
            <w:tcW w:type="dxa" w:w="16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L5 生态协同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主办、场馆、服务商共享状态</w:t>
            </w:r>
          </w:p>
        </w:tc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跨主体权责与数据边界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不在本期范围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把 v1 定位在 L3 是关键取舍：L2 的工单化并不缺工具，缺的是“同一工单在不同系统里能对上”的关联编号；L4 的自动化并不缺模型，缺的是可审计的判定与责任确认。跳过 L3 直接做 L4，会把版本冲突带入自动答复，放大而不是降低风险。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3.3 现有做法与局限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5　常见做法的能力边界（定性）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2381"/>
        <w:gridCol w:w="2835"/>
        <w:gridCol w:w="3402"/>
      </w:tblGrid>
      <w:tr>
        <w:trPr>
          <w:tblHeader w:val="true"/>
        </w:trPr>
        <w:tc>
          <w:tcPr>
            <w:tcW w:type="dxa" w:w="238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做法</w:t>
            </w:r>
          </w:p>
        </w:tc>
        <w:tc>
          <w:tcPr>
            <w:tcW w:type="dxa" w:w="283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优点</w:t>
            </w:r>
          </w:p>
        </w:tc>
        <w:tc>
          <w:tcPr>
            <w:tcW w:type="dxa" w:w="340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局限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群消息 + 人工记忆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快、灵活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无留痕、口径随人变、无法复盘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共享表格登记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成本低、可筛选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字段靠自觉、版本不关联、易覆盖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服务台工单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可流转、可统计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与台账/文件库编号不通，版本靠附件名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主办方自建门户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展商自助、体验统一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建设周期长，规则变更需发版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通用大模型问答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表达自然、覆盖广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幻觉、版本时效、无法承担审批责任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知识库 + 检索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引用可查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检索到旧版本时同样会答错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可以看到，没有任何一种做法同时解决“版本可判定、过程可审计、责任可确认”。这正是 v1 把“只读接入 + 规则判定 + 草稿 + 人工确认 + 哈希链审计”组合起来的原因。</w:t>
      </w: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四、技术趋势与可用边界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4.1 生成式 AI 在客服场景的真实位置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生成式模型擅长把结构化规则转成自然语言、做多轮澄清、归纳长文档。但在展商服务里，它有三个不能替代人的地方：第一，模型无法为“收费/资格”这类不可逆结论负责；第二，模型对“当前有效版本”没有内在概念，检索到旧通知就会自信地答错；第三，模型输出难以逐条对应到责任人与确认时间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因此更稳妥的架构是“规则判定 + 模型表达 + 人在环上”：版本判定由确定性规则完成，模型只负责把判定结果组织成可读草稿，最终对外动作由授权人完成。v1 甚至把模型放在可替换的位置——即使不接模型，只靠模板也能生成合规草稿。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4.2 可审计 AI 的四个要件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6　可审计 AI 的四个要件与 v1 对应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854"/>
        <w:gridCol w:w="3054"/>
        <w:gridCol w:w="3709"/>
      </w:tblGrid>
      <w:tr>
        <w:trPr>
          <w:tblHeader w:val="true"/>
        </w:trPr>
        <w:tc>
          <w:tcPr>
            <w:tcW w:type="dxa" w:w="185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要件</w:t>
            </w:r>
          </w:p>
        </w:tc>
        <w:tc>
          <w:tcPr>
            <w:tcW w:type="dxa" w:w="305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含义</w:t>
            </w:r>
          </w:p>
        </w:tc>
        <w:tc>
          <w:tcPr>
            <w:tcW w:type="dxa" w:w="370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v1 的落地方式</w:t>
            </w:r>
          </w:p>
        </w:tc>
      </w:tr>
      <w:tr>
        <w:tc>
          <w:tcPr>
            <w:tcW w:type="dxa" w:w="18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输入可追溯</w:t>
            </w:r>
          </w:p>
        </w:tc>
        <w:tc>
          <w:tcPr>
            <w:tcW w:type="dxa" w:w="30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每条结论能回到原始行与文件</w:t>
            </w:r>
          </w:p>
        </w:tc>
        <w:tc>
          <w:tcPr>
            <w:tcW w:type="dxa" w:w="37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保留原行、来源文件与行号、输入哈希</w:t>
            </w:r>
          </w:p>
        </w:tc>
      </w:tr>
      <w:tr>
        <w:tc>
          <w:tcPr>
            <w:tcW w:type="dxa" w:w="18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规则可解释</w:t>
            </w:r>
          </w:p>
        </w:tc>
        <w:tc>
          <w:tcPr>
            <w:tcW w:type="dxa" w:w="30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判定依据不是黑箱</w:t>
            </w:r>
          </w:p>
        </w:tc>
        <w:tc>
          <w:tcPr>
            <w:tcW w:type="dxa" w:w="37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排序键与排除项显式写入草稿与审计</w:t>
            </w:r>
          </w:p>
        </w:tc>
      </w:tr>
      <w:tr>
        <w:tc>
          <w:tcPr>
            <w:tcW w:type="dxa" w:w="18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动作可拦截</w:t>
            </w:r>
          </w:p>
        </w:tc>
        <w:tc>
          <w:tcPr>
            <w:tcW w:type="dxa" w:w="30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越界动作在代码层不可达</w:t>
            </w:r>
          </w:p>
        </w:tc>
        <w:tc>
          <w:tcPr>
            <w:tcW w:type="dxa" w:w="37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publish/send/write_back 恒抛异常；配置强校验</w:t>
            </w:r>
          </w:p>
        </w:tc>
      </w:tr>
      <w:tr>
        <w:tc>
          <w:tcPr>
            <w:tcW w:type="dxa" w:w="18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过程可复核</w:t>
            </w:r>
          </w:p>
        </w:tc>
        <w:tc>
          <w:tcPr>
            <w:tcW w:type="dxa" w:w="30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谁在何时确认了什么</w:t>
            </w:r>
          </w:p>
        </w:tc>
        <w:tc>
          <w:tcPr>
            <w:tcW w:type="dxa" w:w="37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四项确认 + 哈希链 + 只读审计导出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4.3 技术选型的现实约束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会展主办方的 IT 能力差异很大：头部有自建团队，中小主办方往往只有一名兼职 IT。这意味着方案必须能“低依赖部署”：不强制上云、不强制接向量库、不强制改造现有系统。v1 选择单机 CLI + 运行目录 + 零第三方运行时依赖，是刻意的约束，而不是技术保守。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617"/>
            <w:shd w:fill="F7F9FC"/>
            <w:tcBorders>
              <w:top w:val="single" w:sz="4" w:color="C9D3E3"/>
              <w:bottom w:val="single" w:sz="4" w:color="C9D3E3"/>
              <w:left w:val="single" w:sz="4" w:color="C9D3E3"/>
              <w:right w:val="single" w:sz="4" w:color="C9D3E3"/>
            </w:tcBorders>
            <w:tcMar>
              <w:top w:w="140" w:type="dxa"/>
              <w:bottom w:w="14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20"/>
              </w:rPr>
              <w:t>一个反直觉的判断</w:t>
            </w:r>
          </w:p>
          <w:p>
            <w:pPr>
              <w:spacing w:after="20"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在版本治理缺失的组织里，接入越重的 AI 平台，出错后的定位成本越高。先把“判定与留痕”做对，再逐步替换表达层，反而更快见到效果。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五、政策与合规环境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展商咨询涉及企业联系人、手机号、邮箱等个人信息，也可能涉及未公开的展位价格与合同条款。同时，若使用生成式模型对外提供服务，还需满足生成式人工智能服务的管理要求。合规不是“加一句免责声明”，而是要在数据流与权限上体现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7　合规要求与设计约束（概括，具体以官方文本为准）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2565"/>
        <w:gridCol w:w="2770"/>
        <w:gridCol w:w="3283"/>
      </w:tblGrid>
      <w:tr>
        <w:trPr>
          <w:tblHeader w:val="true"/>
        </w:trPr>
        <w:tc>
          <w:tcPr>
            <w:tcW w:type="dxa" w:w="256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法规 / 制度</w:t>
            </w:r>
          </w:p>
        </w:tc>
        <w:tc>
          <w:tcPr>
            <w:tcW w:type="dxa" w:w="277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核心要求（概括）</w:t>
            </w:r>
          </w:p>
        </w:tc>
        <w:tc>
          <w:tcPr>
            <w:tcW w:type="dxa" w:w="328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对本项目的约束</w:t>
            </w:r>
          </w:p>
        </w:tc>
      </w:tr>
      <w:tr>
        <w:tc>
          <w:tcPr>
            <w:tcW w:type="dxa" w:w="25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《个人信息保护法》</w:t>
            </w:r>
          </w:p>
        </w:tc>
        <w:tc>
          <w:tcPr>
            <w:tcW w:type="dxa" w:w="27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最小必要、告知同意、目的限定</w:t>
            </w:r>
          </w:p>
        </w:tc>
        <w:tc>
          <w:tcPr>
            <w:tcW w:type="dxa" w:w="32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只处理脱敏导出；手机号/邮箱在入库前掩码</w:t>
            </w:r>
          </w:p>
        </w:tc>
      </w:tr>
      <w:tr>
        <w:tc>
          <w:tcPr>
            <w:tcW w:type="dxa" w:w="25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《数据安全法》</w:t>
            </w:r>
          </w:p>
        </w:tc>
        <w:tc>
          <w:tcPr>
            <w:tcW w:type="dxa" w:w="27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分类分级、风险监测、事件处置</w:t>
            </w:r>
          </w:p>
        </w:tc>
        <w:tc>
          <w:tcPr>
            <w:tcW w:type="dxa" w:w="32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单批次白名单；运行目录与审计留存策略</w:t>
            </w:r>
          </w:p>
        </w:tc>
      </w:tr>
      <w:tr>
        <w:tc>
          <w:tcPr>
            <w:tcW w:type="dxa" w:w="25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《生成式人工智能服务管理暂行办法》</w:t>
            </w:r>
          </w:p>
        </w:tc>
        <w:tc>
          <w:tcPr>
            <w:tcW w:type="dxa" w:w="27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内容安全、标识、依法备案（面向公众服务时）</w:t>
            </w:r>
          </w:p>
        </w:tc>
        <w:tc>
          <w:tcPr>
            <w:tcW w:type="dxa" w:w="32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v1 不对外生成内容；草稿固定“未确认、不可对外”</w:t>
            </w:r>
          </w:p>
        </w:tc>
      </w:tr>
      <w:tr>
        <w:tc>
          <w:tcPr>
            <w:tcW w:type="dxa" w:w="25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《广告法》</w:t>
            </w:r>
          </w:p>
        </w:tc>
        <w:tc>
          <w:tcPr>
            <w:tcW w:type="dxa" w:w="27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不得虚假或误导性宣传</w:t>
            </w:r>
          </w:p>
        </w:tc>
        <w:tc>
          <w:tcPr>
            <w:tcW w:type="dxa" w:w="32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收费、折扣、资格类表述必须由授权人确认</w:t>
            </w:r>
          </w:p>
        </w:tc>
      </w:tr>
      <w:tr>
        <w:tc>
          <w:tcPr>
            <w:tcW w:type="dxa" w:w="25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主办方内部授权制度</w:t>
            </w:r>
          </w:p>
        </w:tc>
        <w:tc>
          <w:tcPr>
            <w:tcW w:type="dxa" w:w="27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数据用途、导出范围、审批链</w:t>
            </w:r>
          </w:p>
        </w:tc>
        <w:tc>
          <w:tcPr>
            <w:tcW w:type="dxa" w:w="32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manifest 声明授权批次与用途；越界即拒绝运行</w:t>
            </w:r>
          </w:p>
        </w:tc>
      </w:tr>
    </w:tbl>
    <w:p>
      <w:pPr>
        <w:spacing w:after="40"/>
      </w:pPr>
    </w:p>
    <w:p>
      <w:pPr>
        <w:spacing w:line="348" w:lineRule="auto"/>
        <w:ind w:firstLine="380"/>
        <w:jc w:val="both"/>
      </w:pPr>
      <w:r>
        <w:rPr>
          <w:rFonts w:ascii="宋体" w:hAnsi="宋体" w:eastAsia="宋体"/>
          <w:b w:val="0"/>
          <w:i w:val="0"/>
          <w:color w:val="595959"/>
          <w:sz w:val="19"/>
        </w:rPr>
        <w:t>需要强调：合规判断应由法务与数据安全负责人确认。本报告只列出与产品设计直接相关的约束，不构成法律意见。</w:t>
      </w: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六、竞争格局与替代方案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展商服务数字化的供给方大致分四类：通用协作工具、会展 SaaS、主办方自建系统、通用 AI 客服。它们各自解决了一部分问题，但都没有把“版本判定 + 审计 + 只读边界”作为一等公民。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8　替代方案对比（定性）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804"/>
        <w:gridCol w:w="2505"/>
        <w:gridCol w:w="2104"/>
        <w:gridCol w:w="2204"/>
      </w:tblGrid>
      <w:tr>
        <w:trPr>
          <w:tblHeader w:val="true"/>
        </w:trPr>
        <w:tc>
          <w:tcPr>
            <w:tcW w:type="dxa" w:w="180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方案类型</w:t>
            </w:r>
          </w:p>
        </w:tc>
        <w:tc>
          <w:tcPr>
            <w:tcW w:type="dxa" w:w="250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代表形态</w:t>
            </w:r>
          </w:p>
        </w:tc>
        <w:tc>
          <w:tcPr>
            <w:tcW w:type="dxa" w:w="210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优势</w:t>
            </w:r>
          </w:p>
        </w:tc>
        <w:tc>
          <w:tcPr>
            <w:tcW w:type="dxa" w:w="220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在本场景的缺口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通用协作工具</w:t>
            </w:r>
          </w:p>
        </w:tc>
        <w:tc>
          <w:tcPr>
            <w:tcW w:type="dxa" w:w="250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企微/钉钉 + 在线表格</w:t>
            </w:r>
          </w:p>
        </w:tc>
        <w:tc>
          <w:tcPr>
            <w:tcW w:type="dxa" w:w="21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上手快、成本低</w:t>
            </w:r>
          </w:p>
        </w:tc>
        <w:tc>
          <w:tcPr>
            <w:tcW w:type="dxa" w:w="22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无版本模型、无审计链、责任不清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会展 SaaS</w:t>
            </w:r>
          </w:p>
        </w:tc>
        <w:tc>
          <w:tcPr>
            <w:tcW w:type="dxa" w:w="250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招展/观众/展商服务一体化</w:t>
            </w:r>
          </w:p>
        </w:tc>
        <w:tc>
          <w:tcPr>
            <w:tcW w:type="dxa" w:w="21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流程完整、报表成熟</w:t>
            </w:r>
          </w:p>
        </w:tc>
        <w:tc>
          <w:tcPr>
            <w:tcW w:type="dxa" w:w="22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版本治理弱；定制与数据出境受限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主办方自建</w:t>
            </w:r>
          </w:p>
        </w:tc>
        <w:tc>
          <w:tcPr>
            <w:tcW w:type="dxa" w:w="250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门户 + CRM + 工单</w:t>
            </w:r>
          </w:p>
        </w:tc>
        <w:tc>
          <w:tcPr>
            <w:tcW w:type="dxa" w:w="21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贴合业务、可深度集成</w:t>
            </w:r>
          </w:p>
        </w:tc>
        <w:tc>
          <w:tcPr>
            <w:tcW w:type="dxa" w:w="22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周期长、维护成本高、规则变更慢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通用 AI 客服</w:t>
            </w:r>
          </w:p>
        </w:tc>
        <w:tc>
          <w:tcPr>
            <w:tcW w:type="dxa" w:w="250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大模型问答/坐席辅助</w:t>
            </w:r>
          </w:p>
        </w:tc>
        <w:tc>
          <w:tcPr>
            <w:tcW w:type="dxa" w:w="21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表达好、覆盖广</w:t>
            </w:r>
          </w:p>
        </w:tc>
        <w:tc>
          <w:tcPr>
            <w:tcW w:type="dxa" w:w="22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幻觉与旧版本风险；不能承担审批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本项目 v1</w:t>
            </w:r>
          </w:p>
        </w:tc>
        <w:tc>
          <w:tcPr>
            <w:tcW w:type="dxa" w:w="250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只读 CLI + 规则判定 + 草稿 + 审计</w:t>
            </w:r>
          </w:p>
        </w:tc>
        <w:tc>
          <w:tcPr>
            <w:tcW w:type="dxa" w:w="21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边界清晰、可离线、可审计</w:t>
            </w:r>
          </w:p>
        </w:tc>
        <w:tc>
          <w:tcPr>
            <w:tcW w:type="dxa" w:w="22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不自动回复、不写回；需人工确认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v1 不试图替代上述系统，而是补上它们共同缺失的一层：把“这一版规则是否适用、依据是什么、谁确认过”变成可复核的记录。这层能力可以独立存在，也可以作为未来平台的治理内核。</w:t>
      </w: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七、对 v1 方案的启示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7.1 五条设计结论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9　行业分析到设计动作的映射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370"/>
        <w:gridCol w:w="3016"/>
        <w:gridCol w:w="3231"/>
      </w:tblGrid>
      <w:tr>
        <w:trPr>
          <w:tblHeader w:val="true"/>
        </w:trPr>
        <w:tc>
          <w:tcPr>
            <w:tcW w:type="dxa" w:w="237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结论</w:t>
            </w:r>
          </w:p>
        </w:tc>
        <w:tc>
          <w:tcPr>
            <w:tcW w:type="dxa" w:w="301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行业依据</w:t>
            </w:r>
          </w:p>
        </w:tc>
        <w:tc>
          <w:tcPr>
            <w:tcW w:type="dxa" w:w="323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v1 设计动作</w:t>
            </w:r>
          </w:p>
        </w:tc>
      </w:tr>
      <w:tr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版本治理优先于模型能力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旧通知引用导致口径不一致（案例 f10/f11）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有效期 + 确认状态 + 版本链；文件名不参与判定</w:t>
            </w:r>
          </w:p>
        </w:tc>
      </w:tr>
      <w:tr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审计先于自动化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对外答复需可追溯（f45）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哈希链记录判定、草稿、确认、查看；只读导出</w:t>
            </w:r>
          </w:p>
        </w:tc>
      </w:tr>
      <w:tr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单批次、小切口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行业口径与排期差异大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批次白名单；只覆盖一个批次；4 周试点</w:t>
            </w:r>
          </w:p>
        </w:tc>
      </w:tr>
      <w:tr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完成口径必须多元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单一效率指标会掩盖返工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工时 + 返工 + 确认完整率三项并列</w:t>
            </w:r>
          </w:p>
        </w:tc>
      </w:tr>
      <w:tr>
        <w:tc>
          <w:tcPr>
            <w:tcW w:type="dxa" w:w="23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不可逆动作显式隔离</w:t>
            </w:r>
          </w:p>
        </w:tc>
        <w:tc>
          <w:tcPr>
            <w:tcW w:type="dxa" w:w="30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费用/资格错误代价高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只出草稿；发布/写回/外发接口不存在；审核方可暂停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7.2 不建议在 v1 做的事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不做全量知识库迁移：历史通知的版本关系未理清前，迁移只会把冲突放大。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不做自动对外回复：即使模型准确率很高，责任仍无法转移给模型。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不做跨主体数据共享：场馆、搭建商的数据边界与授权链尚未建立。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不以“减少人工”作为唯一目标：v1 的目标是“减少错误与返工”，人工确认是设计的一部分。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7.3 需要继续核实的行业数据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以下数据在本次分析中未能取得可核验来源，列为后续补充项，不作为结论依据：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10　行业数据缺口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667"/>
        <w:gridCol w:w="2872"/>
        <w:gridCol w:w="3078"/>
      </w:tblGrid>
      <w:tr>
        <w:trPr>
          <w:tblHeader w:val="true"/>
        </w:trPr>
        <w:tc>
          <w:tcPr>
            <w:tcW w:type="dxa" w:w="266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待核实项</w:t>
            </w:r>
          </w:p>
        </w:tc>
        <w:tc>
          <w:tcPr>
            <w:tcW w:type="dxa" w:w="287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为什么重要</w:t>
            </w:r>
          </w:p>
        </w:tc>
        <w:tc>
          <w:tcPr>
            <w:tcW w:type="dxa" w:w="307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建议来源</w:t>
            </w:r>
          </w:p>
        </w:tc>
      </w:tr>
      <w:tr>
        <w:tc>
          <w:tcPr>
            <w:tcW w:type="dxa" w:w="26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展商咨询中“旧版本引用”占比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决定版本治理的优先级与收益测算</w:t>
            </w:r>
          </w:p>
        </w:tc>
        <w:tc>
          <w:tcPr>
            <w:tcW w:type="dxa" w:w="30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主办方工单抽样（需授权）</w:t>
            </w:r>
          </w:p>
        </w:tc>
      </w:tr>
      <w:tr>
        <w:tc>
          <w:tcPr>
            <w:tcW w:type="dxa" w:w="26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单工单平均处理时长与返工率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三项指标的基线</w:t>
            </w:r>
          </w:p>
        </w:tc>
        <w:tc>
          <w:tcPr>
            <w:tcW w:type="dxa" w:w="30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服务台导出 + 台账核对</w:t>
            </w:r>
          </w:p>
        </w:tc>
      </w:tr>
      <w:tr>
        <w:tc>
          <w:tcPr>
            <w:tcW w:type="dxa" w:w="26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展商续订与投诉的关联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论证服务质量的商业价值</w:t>
            </w:r>
          </w:p>
        </w:tc>
        <w:tc>
          <w:tcPr>
            <w:tcW w:type="dxa" w:w="30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客户满意度与续订数据</w:t>
            </w:r>
          </w:p>
        </w:tc>
      </w:tr>
      <w:tr>
        <w:tc>
          <w:tcPr>
            <w:tcW w:type="dxa" w:w="26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行业 AI 客服的采用率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判断竞争窗口</w:t>
            </w:r>
          </w:p>
        </w:tc>
        <w:tc>
          <w:tcPr>
            <w:tcW w:type="dxa" w:w="30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行业协会调研/公开案例</w:t>
            </w:r>
          </w:p>
        </w:tc>
      </w:tr>
      <w:tr>
        <w:tc>
          <w:tcPr>
            <w:tcW w:type="dxa" w:w="26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数据出境与跨境展会要求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影响部署形态</w:t>
            </w:r>
          </w:p>
        </w:tc>
        <w:tc>
          <w:tcPr>
            <w:tcW w:type="dxa" w:w="30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法务与数据安全负责人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八、结论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会展行业的展商服务正从“人盯人”转向“系统支撑 + 人工判断”的混合模式。行业规模仍在增长，但增量集中在专业展与产业带展会，展商对确定性的要求更高；与此同时，多数主办方的知识仍分散在三套系统与群消息里，版本与责任无法追溯。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在这样的阶段，最有价值的不是更强的生成能力，而是把“哪一版规则适用、依据是什么、谁确认过”变成可复核的事实。v1 以只读接入、规则判定、草稿生成、人工确认与哈希链审计组成最小闭环，用 4 周、单批次、2 名业务骨干的试点验证这一层能力是否成立；在验证通过之前，不扩展到自动发布、写回与跨主体协同。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617"/>
            <w:shd w:fill="EEF3FA"/>
            <w:tcBorders>
              <w:top w:val="single" w:sz="4" w:color="1F3864"/>
              <w:bottom w:val="single" w:sz="4" w:color="1F3864"/>
              <w:left w:val="single" w:sz="4" w:color="1F3864"/>
              <w:right w:val="single" w:sz="4" w:color="1F3864"/>
            </w:tcBorders>
            <w:tcMar>
              <w:top w:w="140" w:type="dxa"/>
              <w:bottom w:w="14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20"/>
              </w:rPr>
              <w:t>一句话结论</w:t>
            </w:r>
          </w:p>
          <w:p>
            <w:pPr>
              <w:spacing w:after="20"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先让答案“可追溯”，再让答案“更快”。顺序反过来，快只会放大错误。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附录 A　资料来源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/>
          <w:i w:val="0"/>
          <w:sz w:val="21"/>
        </w:rPr>
        <w:t>统计口径（唯一引用）：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中国国际贸易促进委员会《中国展览经济发展报告 2024》：2024 年境内经贸类展会 3,844 场、展览总面积 1.55 亿平方米、面积同比 +10.1%。转引自中国政府网图解：https://www.gov.cn/zhengce/jiedu/tujie/202501/content_6997732.htm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/>
          <w:i w:val="0"/>
          <w:sz w:val="21"/>
        </w:rPr>
        <w:t>制度文本（以官方发布为准）：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《中华人民共和国个人信息保护法》，2021 年 11 月 1 日施行。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《中华人民共和国数据安全法》，2021 年 9 月 1 日施行。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《生成式人工智能服务管理暂行办法》，2023 年 8 月 15 日施行。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《中华人民共和国广告法》（2021 年修正）。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/>
          <w:i w:val="0"/>
          <w:sz w:val="21"/>
        </w:rPr>
        <w:t>项目内资料：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discovery-report.md / discovery-report.json / discovery-requirements.csv（合成访谈，36 条事实）。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docs/requirements-traceability.md、docs/design.md、docs/pilot-runbook.md。</w:t>
      </w: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附录 B　术语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11　术语表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381"/>
        <w:gridCol w:w="6236"/>
      </w:tblGrid>
      <w:tr>
        <w:trPr>
          <w:tblHeader w:val="true"/>
        </w:trPr>
        <w:tc>
          <w:tcPr>
            <w:tcW w:type="dxa" w:w="238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术语</w:t>
            </w:r>
          </w:p>
        </w:tc>
        <w:tc>
          <w:tcPr>
            <w:tcW w:type="dxa" w:w="623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含义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版本（知识版本）</w:t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一份带有效期与确认状态的规则/通知，而不是一个文件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当前版本</w:t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在业务发生时间点上，有效期覆盖且已确认、未作废的版本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版本链</w:t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通过 supersedes 关系连接的新旧版本序列，用于判断替代关系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双时间戳</w:t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业务发生时间（真实发生）与系统接收时间（进入系统）两个字段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四态</w:t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有效、缺失、未确认、无效；缺失与未确认必须区分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四项确认</w:t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版本可定位、来源可追溯、未确认项已列明、用途与授权范围相符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不可逆动作</w:t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对外发布、收费/资格决定、写回源系统等难以撤回的动作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人在环上</w:t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系统给出判定与草稿，最终确认与对外动作由授权人完成</w:t>
            </w:r>
          </w:p>
        </w:tc>
      </w:tr>
    </w:tbl>
    <w:p>
      <w:pPr>
        <w:spacing w:after="40"/>
      </w:pP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color w:val="595959"/>
          <w:sz w:val="18"/>
        </w:rPr>
        <w:t>— 完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91" w:left="1247" w:header="68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7"/>
      </w:rPr>
      <w:t xml:space="preserve">第 </w:t>
    </w:r>
    <w:r>
      <w:rPr>
        <w:rFonts w:ascii="宋体" w:hAnsi="宋体" w:eastAsia="宋体"/>
        <w:b w:val="0"/>
        <w:i w:val="0"/>
        <w:color w:val="59595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595959"/>
        <w:sz w:val="17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7F7F7F"/>
        <w:sz w:val="16"/>
      </w:rPr>
      <w:t>展商咨询工单版本追溯 · v1 设计方案　|　内部资料 · 合成样本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会展行业数字化与展商咨询服务分析</dc:title>
  <dc:subject>v1 设计方案 · 行业分析</dc:subject>
  <dc:creator>业务分析组</dc:creator>
  <cp:keywords/>
  <dc:description>v1 设计方案 · 合成样本数据 · 只读试点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