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</w:pPr>
      <w:r>
        <w:rPr>
          <w:rFonts w:ascii="微软雅黑" w:hAnsi="微软雅黑" w:eastAsia="微软雅黑"/>
          <w:b/>
          <w:i w:val="0"/>
          <w:color w:val="2E5496"/>
          <w:sz w:val="20"/>
        </w:rPr>
        <w:t>v1 设计方案 · 03</w:t>
      </w:r>
    </w:p>
    <w:p>
      <w:pPr>
        <w:spacing w:before="360" w:after="120"/>
        <w:pBdr>
          <w:bottom w:val="single" w:sz="12" w:space="10" w:color="1F3864"/>
        </w:pBdr>
      </w:pPr>
      <w:r>
        <w:rPr>
          <w:rFonts w:ascii="微软雅黑" w:hAnsi="微软雅黑" w:eastAsia="微软雅黑"/>
          <w:b/>
          <w:i w:val="0"/>
          <w:color w:val="1F3864"/>
          <w:sz w:val="52"/>
        </w:rPr>
        <w:t>展商咨询工单处理流程图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595959"/>
          <w:sz w:val="26"/>
        </w:rPr>
        <w:t>现状流程 · 数智化转型后流程 · 总体架构</w:t>
      </w:r>
    </w:p>
    <w:p/>
    <w:p/>
    <w:tbl>
      <w:tblPr>
        <w:jc w:val="center"/>
        <w:tblLook w:firstColumn="1" w:firstRow="1" w:lastColumn="0" w:lastRow="0" w:noHBand="0" w:noVBand="1" w:val="04A0"/>
        <w:tblLayout w:type="fixed"/>
        <w:tblW w:type="dxa" w:w="8390"/>
      </w:tblPr>
      <w:tblGrid>
        <w:gridCol w:w="2381"/>
        <w:gridCol w:w="6009"/>
      </w:tblGrid>
      <w:tr>
        <w:tc>
          <w:tcPr>
            <w:tcW w:type="dxa" w:w="23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微软雅黑" w:hAnsi="微软雅黑" w:eastAsia="微软雅黑"/>
                <w:b/>
                <w:i w:val="0"/>
                <w:color w:val="2E5496"/>
                <w:sz w:val="19"/>
              </w:rPr>
              <w:t>文档编号</w:t>
            </w:r>
          </w:p>
        </w:tc>
        <w:tc>
          <w:tcPr>
            <w:tcW w:type="dxa" w:w="60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宋体" w:hAnsi="宋体" w:eastAsia="宋体"/>
                <w:b w:val="0"/>
                <w:i w:val="0"/>
                <w:color w:val="595959"/>
                <w:sz w:val="19"/>
              </w:rPr>
              <w:t>v1-FC-001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微软雅黑" w:hAnsi="微软雅黑" w:eastAsia="微软雅黑"/>
                <w:b/>
                <w:i w:val="0"/>
                <w:color w:val="2E5496"/>
                <w:sz w:val="19"/>
              </w:rPr>
              <w:t>版本 / 日期</w:t>
            </w:r>
          </w:p>
        </w:tc>
        <w:tc>
          <w:tcPr>
            <w:tcW w:type="dxa" w:w="60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宋体" w:hAnsi="宋体" w:eastAsia="宋体"/>
                <w:b w:val="0"/>
                <w:i w:val="0"/>
                <w:color w:val="595959"/>
                <w:sz w:val="19"/>
              </w:rPr>
              <w:t>v1.0 / 2026-10-23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微软雅黑" w:hAnsi="微软雅黑" w:eastAsia="微软雅黑"/>
                <w:b/>
                <w:i w:val="0"/>
                <w:color w:val="2E5496"/>
                <w:sz w:val="19"/>
              </w:rPr>
              <w:t>对应工具</w:t>
            </w:r>
          </w:p>
        </w:tc>
        <w:tc>
          <w:tcPr>
            <w:tcW w:type="dxa" w:w="60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宋体" w:hAnsi="宋体" w:eastAsia="宋体"/>
                <w:b w:val="0"/>
                <w:i w:val="0"/>
                <w:color w:val="595959"/>
                <w:sz w:val="19"/>
              </w:rPr>
              <w:t>expo-trace 0.1.0（只读试点）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微软雅黑" w:hAnsi="微软雅黑" w:eastAsia="微软雅黑"/>
                <w:b/>
                <w:i w:val="0"/>
                <w:color w:val="2E5496"/>
                <w:sz w:val="19"/>
              </w:rPr>
              <w:t>图幅</w:t>
            </w:r>
          </w:p>
        </w:tc>
        <w:tc>
          <w:tcPr>
            <w:tcW w:type="dxa" w:w="60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宋体" w:hAnsi="宋体" w:eastAsia="宋体"/>
                <w:b w:val="0"/>
                <w:i w:val="0"/>
                <w:color w:val="595959"/>
                <w:sz w:val="19"/>
              </w:rPr>
              <w:t>现状 1 张、转型后 1 张、总体架构 1 张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微软雅黑" w:hAnsi="微软雅黑" w:eastAsia="微软雅黑"/>
                <w:b/>
                <w:i w:val="0"/>
                <w:color w:val="2E5496"/>
                <w:sz w:val="19"/>
              </w:rPr>
              <w:t>数据性质</w:t>
            </w:r>
          </w:p>
        </w:tc>
        <w:tc>
          <w:tcPr>
            <w:tcW w:type="dxa" w:w="60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宋体" w:hAnsi="宋体" w:eastAsia="宋体"/>
                <w:b w:val="0"/>
                <w:i w:val="0"/>
                <w:color w:val="595959"/>
                <w:sz w:val="19"/>
              </w:rPr>
              <w:t>合成访谈样本；人物与指标均为虚构</w:t>
            </w:r>
          </w:p>
        </w:tc>
      </w:tr>
    </w:tbl>
    <w:p/>
    <w:p/>
    <w:tbl>
      <w:tblPr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8617"/>
      </w:tblGrid>
      <w:tr>
        <w:tc>
          <w:tcPr>
            <w:tcW w:type="dxa" w:w="8617"/>
            <w:shd w:fill="F7F9FC"/>
            <w:tcBorders>
              <w:top w:val="single" w:sz="4" w:color="C9D3E3"/>
              <w:bottom w:val="single" w:sz="4" w:color="C9D3E3"/>
              <w:left w:val="single" w:sz="4" w:color="C9D3E3"/>
              <w:right w:val="single" w:sz="4" w:color="C9D3E3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spacing w:line="324" w:lineRule="auto"/>
            </w:pPr>
            <w:r>
              <w:rPr>
                <w:rFonts w:ascii="宋体" w:hAnsi="宋体" w:eastAsia="宋体"/>
                <w:b w:val="0"/>
                <w:i w:val="0"/>
                <w:color w:val="595959"/>
                <w:sz w:val="18"/>
              </w:rPr>
              <w:t>说明：三张图用于对齐“现状哪里断、转型后谁来做、系统边界在哪里”。图中环节编号与《业务挖掘报告》一致；现状图保留人工兜底与三套工具，转型后图把可判定的部分交给系统、把不可逆动作留给人。</w:t>
            </w:r>
          </w:p>
        </w:tc>
      </w:tr>
    </w:tbl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一、读图说明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三张图回答三个不同问题：现状图回答“今天卡在哪里”，转型后图回答“系统做什么、人做什么”，总体架构图回答“这些能力放在哪一层、边界在哪里”。建议按顺序阅读，先看断点，再看分工，最后看架构。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1　图元说明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1745"/>
        <w:gridCol w:w="2836"/>
        <w:gridCol w:w="4036"/>
      </w:tblGrid>
      <w:tr>
        <w:trPr>
          <w:tblHeader w:val="true"/>
        </w:trPr>
        <w:tc>
          <w:tcPr>
            <w:tcW w:type="dxa" w:w="174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图元</w:t>
            </w:r>
          </w:p>
        </w:tc>
        <w:tc>
          <w:tcPr>
            <w:tcW w:type="dxa" w:w="2836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含义</w:t>
            </w:r>
          </w:p>
        </w:tc>
        <w:tc>
          <w:tcPr>
            <w:tcW w:type="dxa" w:w="4036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阅读提示</w:t>
            </w:r>
          </w:p>
        </w:tc>
      </w:tr>
      <w:tr>
        <w:tc>
          <w:tcPr>
            <w:tcW w:type="dxa" w:w="1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蓝色矩形</w:t>
            </w:r>
          </w:p>
        </w:tc>
        <w:tc>
          <w:tcPr>
            <w:tcW w:type="dxa" w:w="28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处理步骤</w:t>
            </w:r>
          </w:p>
        </w:tc>
        <w:tc>
          <w:tcPr>
            <w:tcW w:type="dxa" w:w="40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编号 ①–⑧ 与业务挖掘报告一致；括号内为关键动作</w:t>
            </w:r>
          </w:p>
        </w:tc>
      </w:tr>
      <w:tr>
        <w:tc>
          <w:tcPr>
            <w:tcW w:type="dxa" w:w="1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黄色菱形</w:t>
            </w:r>
          </w:p>
        </w:tc>
        <w:tc>
          <w:tcPr>
            <w:tcW w:type="dxa" w:w="28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判断点</w:t>
            </w:r>
          </w:p>
        </w:tc>
        <w:tc>
          <w:tcPr>
            <w:tcW w:type="dxa" w:w="40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只有“是/否”两个出口；否出口一律进入兜底，不允许跳过</w:t>
            </w:r>
          </w:p>
        </w:tc>
      </w:tr>
      <w:tr>
        <w:tc>
          <w:tcPr>
            <w:tcW w:type="dxa" w:w="1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红色矩形</w:t>
            </w:r>
          </w:p>
        </w:tc>
        <w:tc>
          <w:tcPr>
            <w:tcW w:type="dxa" w:w="28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兜底 / 人工队列</w:t>
            </w:r>
          </w:p>
        </w:tc>
        <w:tc>
          <w:tcPr>
            <w:tcW w:type="dxa" w:w="40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进入后必须有责任人、原因码与截止时间</w:t>
            </w:r>
          </w:p>
        </w:tc>
      </w:tr>
      <w:tr>
        <w:tc>
          <w:tcPr>
            <w:tcW w:type="dxa" w:w="1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紫色虚线框</w:t>
            </w:r>
          </w:p>
        </w:tc>
        <w:tc>
          <w:tcPr>
            <w:tcW w:type="dxa" w:w="28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不可逆边界</w:t>
            </w:r>
          </w:p>
        </w:tc>
        <w:tc>
          <w:tcPr>
            <w:tcW w:type="dxa" w:w="40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框内动作不得自动对外；发布、收费、资格决定由人完成</w:t>
            </w:r>
          </w:p>
        </w:tc>
      </w:tr>
      <w:tr>
        <w:tc>
          <w:tcPr>
            <w:tcW w:type="dxa" w:w="1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红色虚线</w:t>
            </w:r>
          </w:p>
        </w:tc>
        <w:tc>
          <w:tcPr>
            <w:tcW w:type="dxa" w:w="28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回流</w:t>
            </w:r>
          </w:p>
        </w:tc>
        <w:tc>
          <w:tcPr>
            <w:tcW w:type="dxa" w:w="40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兜底处理完成后回到闭环，不直接回到对外回复</w:t>
            </w:r>
          </w:p>
        </w:tc>
      </w:tr>
      <w:tr>
        <w:tc>
          <w:tcPr>
            <w:tcW w:type="dxa" w:w="1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灰色注记</w:t>
            </w:r>
          </w:p>
        </w:tc>
        <w:tc>
          <w:tcPr>
            <w:tcW w:type="dxa" w:w="28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现状痛点</w:t>
            </w:r>
          </w:p>
        </w:tc>
        <w:tc>
          <w:tcPr>
            <w:tcW w:type="dxa" w:w="40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左侧标注对应证据编号（f10/f11/f13/f30/f52）</w:t>
            </w:r>
          </w:p>
        </w:tc>
      </w:tr>
    </w:tbl>
    <w:p>
      <w:pPr>
        <w:spacing w:after="40"/>
      </w:pP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图中的“版本”指一份带有效期与确认状态的规则/通知，而不是一个文件。这一点是全部流程的前提：只要还把文件当版本，文件名就会继续替代有效期，旧通知就会继续被引用。</w:t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二、现状流程图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现状流程共 8 个环节、2 个判断点。判断点本身是存在的——一线人员每天都在心里判断“这版通知还有效吗”“这个字段填了吗”——但判断依据留在个人经验里，没有留下可复核的记录。两个兜底（版本不可定位、来源不完整）在现实中靠“问一下”“先按上次的办”完成，既不进队列，也没有责任人。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7397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现状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7397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图 1　展商咨询工单处理流程（现状）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2.1 八个环节与留痕断点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2　现状八环节与留痕断点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6"/>
      </w:tblPr>
      <w:tblGrid>
        <w:gridCol w:w="1641"/>
        <w:gridCol w:w="2872"/>
        <w:gridCol w:w="2975"/>
        <w:gridCol w:w="1128"/>
      </w:tblGrid>
      <w:tr>
        <w:trPr>
          <w:tblHeader w:val="true"/>
        </w:trPr>
        <w:tc>
          <w:tcPr>
            <w:tcW w:type="dxa" w:w="164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环节</w:t>
            </w:r>
          </w:p>
        </w:tc>
        <w:tc>
          <w:tcPr>
            <w:tcW w:type="dxa" w:w="287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现状动作</w:t>
            </w:r>
          </w:p>
        </w:tc>
        <w:tc>
          <w:tcPr>
            <w:tcW w:type="dxa" w:w="297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留痕断点</w:t>
            </w:r>
          </w:p>
        </w:tc>
        <w:tc>
          <w:tcPr>
            <w:tcW w:type="dxa" w:w="112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证据</w:t>
            </w:r>
          </w:p>
        </w:tc>
      </w:tr>
      <w:tr>
        <w:tc>
          <w:tcPr>
            <w:tcW w:type="dxa" w:w="16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① 接收登记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电话/邮件/微信进线，登记展商、批次、类别、接收人</w:t>
            </w:r>
          </w:p>
        </w:tc>
        <w:tc>
          <w:tcPr>
            <w:tcW w:type="dxa" w:w="2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回填时间被当作发生时间；登记字段靠自觉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f13</w:t>
            </w:r>
          </w:p>
        </w:tc>
      </w:tr>
      <w:tr>
        <w:tc>
          <w:tcPr>
            <w:tcW w:type="dxa" w:w="16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② 问题分类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按费用/资格/时间/展位人工分类</w:t>
            </w:r>
          </w:p>
        </w:tc>
        <w:tc>
          <w:tcPr>
            <w:tcW w:type="dxa" w:w="2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分类口径不统一，同一问题分到不同人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f20</w:t>
            </w:r>
          </w:p>
        </w:tc>
      </w:tr>
      <w:tr>
        <w:tc>
          <w:tcPr>
            <w:tcW w:type="dxa" w:w="16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③ 版本检索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翻文件库、搜群记录、问老同事</w:t>
            </w:r>
          </w:p>
        </w:tc>
        <w:tc>
          <w:tcPr>
            <w:tcW w:type="dxa" w:w="2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以文件名判断新旧，旧通知仍被引用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f10/f11</w:t>
            </w:r>
          </w:p>
        </w:tc>
      </w:tr>
      <w:tr>
        <w:tc>
          <w:tcPr>
            <w:tcW w:type="dxa" w:w="16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◇ 版本判断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心里判断“这版还有效吗”</w:t>
            </w:r>
          </w:p>
        </w:tc>
        <w:tc>
          <w:tcPr>
            <w:tcW w:type="dxa" w:w="2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判断不留痕，无法复核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f24</w:t>
            </w:r>
          </w:p>
        </w:tc>
      </w:tr>
      <w:tr>
        <w:tc>
          <w:tcPr>
            <w:tcW w:type="dxa" w:w="16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④ 转派交接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群消息 @ 下一环节，口头说明</w:t>
            </w:r>
          </w:p>
        </w:tc>
        <w:tc>
          <w:tcPr>
            <w:tcW w:type="dxa" w:w="2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只留一句“已处理”，无版本与未结项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f20</w:t>
            </w:r>
          </w:p>
        </w:tc>
      </w:tr>
      <w:tr>
        <w:tc>
          <w:tcPr>
            <w:tcW w:type="dxa" w:w="16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⑤ 生成草稿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复制旧答复，改日期与金额</w:t>
            </w:r>
          </w:p>
        </w:tc>
        <w:tc>
          <w:tcPr>
            <w:tcW w:type="dxa" w:w="2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旧口径被整段复制，未确认项未标注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f10</w:t>
            </w:r>
          </w:p>
        </w:tc>
      </w:tr>
      <w:tr>
        <w:tc>
          <w:tcPr>
            <w:tcW w:type="dxa" w:w="16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◇ 来源判断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凭经验判断“应该没问题”</w:t>
            </w:r>
          </w:p>
        </w:tc>
        <w:tc>
          <w:tcPr>
            <w:tcW w:type="dxa" w:w="2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来源不完整也继续处理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f40</w:t>
            </w:r>
          </w:p>
        </w:tc>
      </w:tr>
      <w:tr>
        <w:tc>
          <w:tcPr>
            <w:tcW w:type="dxa" w:w="16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⑥ 回复审核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主管口头确认或直接发出</w:t>
            </w:r>
          </w:p>
        </w:tc>
        <w:tc>
          <w:tcPr>
            <w:tcW w:type="dxa" w:w="2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无确认记录，模型/个人无审批边界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f22</w:t>
            </w:r>
          </w:p>
        </w:tc>
      </w:tr>
      <w:tr>
        <w:tc>
          <w:tcPr>
            <w:tcW w:type="dxa" w:w="16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⑦ 对外回复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微信/邮件发出</w:t>
            </w:r>
          </w:p>
        </w:tc>
        <w:tc>
          <w:tcPr>
            <w:tcW w:type="dxa" w:w="2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发出后无法撤回，收费与资格口径风险最高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f52</w:t>
            </w:r>
          </w:p>
        </w:tc>
      </w:tr>
      <w:tr>
        <w:tc>
          <w:tcPr>
            <w:tcW w:type="dxa" w:w="16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⑧ 闭环复盘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月度汇总，人工比对三套系统</w:t>
            </w:r>
          </w:p>
        </w:tc>
        <w:tc>
          <w:tcPr>
            <w:tcW w:type="dxa" w:w="2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工单无统一编号，数量与状态对不上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f30/f53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2.2 三套工具与一条暗线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内部服务台、业务台账、文件库三套工具各自有编号体系，工单在系统之间靠人工比对。真正的处理过程发生在群消息与个人表格里，系统里留下的是事后补录的结果。这条“暗线”让时间、版本、责任三个维度同时失真：回填时间不是发生时间，附件名不是版本，群里的“已处理”不是责任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617"/>
            <w:shd w:fill="F7F9FC"/>
            <w:tcBorders>
              <w:top w:val="single" w:sz="4" w:color="C9D3E3"/>
              <w:bottom w:val="single" w:sz="4" w:color="C9D3E3"/>
              <w:left w:val="single" w:sz="4" w:color="C9D3E3"/>
              <w:right w:val="single" w:sz="4" w:color="C9D3E3"/>
            </w:tcBorders>
            <w:tcMar>
              <w:top w:w="140" w:type="dxa"/>
              <w:bottom w:w="140" w:type="dxa"/>
              <w:start w:w="170" w:type="dxa"/>
              <w:end w:w="17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20"/>
              </w:rPr>
              <w:t>现状图最值得注意的一处</w:t>
            </w:r>
          </w:p>
          <w:p>
            <w:pPr>
              <w:spacing w:after="20" w:line="324" w:lineRule="auto"/>
            </w:pPr>
            <w:r>
              <w:rPr>
                <w:rFonts w:ascii="宋体" w:hAnsi="宋体" w:eastAsia="宋体"/>
                <w:b w:val="0"/>
                <w:i w:val="0"/>
                <w:color w:val="595959"/>
                <w:sz w:val="18"/>
              </w:rPr>
              <w:t>两个判断点都没有“记录判断依据”的动作。也就是说，即使某次判断是对的，也无法证明；一旦判断错了，也无法定位是规则错、版本错还是执行错。v1 的第一价值不是提速，而是把这两个判断变成可复核的记录。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三、数智化转型后流程图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转型后仍是 8 个环节，但每一步都多了“由谁做、依据什么、留下什么”。系统承担可判定的部分（受理、分类、版本判定、草稿、审计），人承担不可逆的部分（确认、对外发送、暂停）。两个判断点的“否”出口不再回到个人经验，而是进入带原因码、责任人与截止时间的人工队列。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74274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数智化转型后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7427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图 2　展商咨询工单处理流程（数智化转型后）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3.1 与现状的七个差异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3　现状与转型后的差异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8"/>
      </w:tblPr>
      <w:tblGrid>
        <w:gridCol w:w="1436"/>
        <w:gridCol w:w="2565"/>
        <w:gridCol w:w="3283"/>
        <w:gridCol w:w="1334"/>
      </w:tblGrid>
      <w:tr>
        <w:trPr>
          <w:tblHeader w:val="true"/>
        </w:trPr>
        <w:tc>
          <w:tcPr>
            <w:tcW w:type="dxa" w:w="1436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维度</w:t>
            </w:r>
          </w:p>
        </w:tc>
        <w:tc>
          <w:tcPr>
            <w:tcW w:type="dxa" w:w="256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现状</w:t>
            </w:r>
          </w:p>
        </w:tc>
        <w:tc>
          <w:tcPr>
            <w:tcW w:type="dxa" w:w="3283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转型后</w:t>
            </w:r>
          </w:p>
        </w:tc>
        <w:tc>
          <w:tcPr>
            <w:tcW w:type="dxa" w:w="133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对应需求</w:t>
            </w:r>
          </w:p>
        </w:tc>
      </w:tr>
      <w:tr>
        <w:tc>
          <w:tcPr>
            <w:tcW w:type="dxa" w:w="14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统一编号</w:t>
            </w:r>
          </w:p>
        </w:tc>
        <w:tc>
          <w:tcPr>
            <w:tcW w:type="dxa" w:w="25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三套系统各编各的，靠人工比对</w:t>
            </w:r>
          </w:p>
        </w:tc>
        <w:tc>
          <w:tcPr>
            <w:tcW w:type="dxa" w:w="328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工单/批次/类别/规则生效日统一关联编号</w:t>
            </w:r>
          </w:p>
        </w:tc>
        <w:tc>
          <w:tcPr>
            <w:tcW w:type="dxa" w:w="133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REQ-2</w:t>
            </w:r>
          </w:p>
        </w:tc>
      </w:tr>
      <w:tr>
        <w:tc>
          <w:tcPr>
            <w:tcW w:type="dxa" w:w="14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时间</w:t>
            </w:r>
          </w:p>
        </w:tc>
        <w:tc>
          <w:tcPr>
            <w:tcW w:type="dxa" w:w="25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只有回填时间，发生时间靠回忆</w:t>
            </w:r>
          </w:p>
        </w:tc>
        <w:tc>
          <w:tcPr>
            <w:tcW w:type="dxa" w:w="328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业务发生时间 + 系统接收时间双时间戳，超阈值标记</w:t>
            </w:r>
          </w:p>
        </w:tc>
        <w:tc>
          <w:tcPr>
            <w:tcW w:type="dxa" w:w="133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REQ-3</w:t>
            </w:r>
          </w:p>
        </w:tc>
      </w:tr>
      <w:tr>
        <w:tc>
          <w:tcPr>
            <w:tcW w:type="dxa" w:w="14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版本</w:t>
            </w:r>
          </w:p>
        </w:tc>
        <w:tc>
          <w:tcPr>
            <w:tcW w:type="dxa" w:w="25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看文件名、问老同事</w:t>
            </w:r>
          </w:p>
        </w:tc>
        <w:tc>
          <w:tcPr>
            <w:tcW w:type="dxa" w:w="328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有效期 + 确认状态 + 版本链，文件名不参与判定</w:t>
            </w:r>
          </w:p>
        </w:tc>
        <w:tc>
          <w:tcPr>
            <w:tcW w:type="dxa" w:w="133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REQ-1</w:t>
            </w:r>
          </w:p>
        </w:tc>
      </w:tr>
      <w:tr>
        <w:tc>
          <w:tcPr>
            <w:tcW w:type="dxa" w:w="14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交接</w:t>
            </w:r>
          </w:p>
        </w:tc>
        <w:tc>
          <w:tcPr>
            <w:tcW w:type="dxa" w:w="25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群消息 + 口头说明</w:t>
            </w:r>
          </w:p>
        </w:tc>
        <w:tc>
          <w:tcPr>
            <w:tcW w:type="dxa" w:w="328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交接单：版本、未确认项、责任人、截止时间</w:t>
            </w:r>
          </w:p>
        </w:tc>
        <w:tc>
          <w:tcPr>
            <w:tcW w:type="dxa" w:w="133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REQ-2</w:t>
            </w:r>
          </w:p>
        </w:tc>
      </w:tr>
      <w:tr>
        <w:tc>
          <w:tcPr>
            <w:tcW w:type="dxa" w:w="14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草稿</w:t>
            </w:r>
          </w:p>
        </w:tc>
        <w:tc>
          <w:tcPr>
            <w:tcW w:type="dxa" w:w="25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复制旧答复</w:t>
            </w:r>
          </w:p>
        </w:tc>
        <w:tc>
          <w:tcPr>
            <w:tcW w:type="dxa" w:w="328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固定水印 + 来源引用 + 已排除版本 + 禁止动作</w:t>
            </w:r>
          </w:p>
        </w:tc>
        <w:tc>
          <w:tcPr>
            <w:tcW w:type="dxa" w:w="133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REQ-6</w:t>
            </w:r>
          </w:p>
        </w:tc>
      </w:tr>
      <w:tr>
        <w:tc>
          <w:tcPr>
            <w:tcW w:type="dxa" w:w="14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审核</w:t>
            </w:r>
          </w:p>
        </w:tc>
        <w:tc>
          <w:tcPr>
            <w:tcW w:type="dxa" w:w="25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口头确认或直接发出</w:t>
            </w:r>
          </w:p>
        </w:tc>
        <w:tc>
          <w:tcPr>
            <w:tcW w:type="dxa" w:w="328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四项确认 + 确认人/时间/版本留痕</w:t>
            </w:r>
          </w:p>
        </w:tc>
        <w:tc>
          <w:tcPr>
            <w:tcW w:type="dxa" w:w="133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REQ-6</w:t>
            </w:r>
          </w:p>
        </w:tc>
      </w:tr>
      <w:tr>
        <w:tc>
          <w:tcPr>
            <w:tcW w:type="dxa" w:w="143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复盘</w:t>
            </w:r>
          </w:p>
        </w:tc>
        <w:tc>
          <w:tcPr>
            <w:tcW w:type="dxa" w:w="25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月度人工汇总</w:t>
            </w:r>
          </w:p>
        </w:tc>
        <w:tc>
          <w:tcPr>
            <w:tcW w:type="dxa" w:w="328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三项指标并列 + 误报/漏报登记 + 审计只读导出</w:t>
            </w:r>
          </w:p>
        </w:tc>
        <w:tc>
          <w:tcPr>
            <w:tcW w:type="dxa" w:w="133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REQ-5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3.2 失败路径：不默认通过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转型后图特意保留了两个红色兜底框，并让它们都指向人工队列而不是“继续”。这是设计上的硬约束：版本无法定位、关键字段缺失、来源不完整、授权范围不符，任何一种情况都不得生成可对外内容，只能生成待复核材料。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4　失败路径与责任归属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2154"/>
        <w:gridCol w:w="2529"/>
        <w:gridCol w:w="2154"/>
        <w:gridCol w:w="1780"/>
      </w:tblGrid>
      <w:tr>
        <w:trPr>
          <w:tblHeader w:val="true"/>
        </w:trPr>
        <w:tc>
          <w:tcPr>
            <w:tcW w:type="dxa" w:w="215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失败情形</w:t>
            </w:r>
          </w:p>
        </w:tc>
        <w:tc>
          <w:tcPr>
            <w:tcW w:type="dxa" w:w="252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系统动作</w:t>
            </w:r>
          </w:p>
        </w:tc>
        <w:tc>
          <w:tcPr>
            <w:tcW w:type="dxa" w:w="215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人工动作</w:t>
            </w:r>
          </w:p>
        </w:tc>
        <w:tc>
          <w:tcPr>
            <w:tcW w:type="dxa" w:w="1780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留痕</w:t>
            </w:r>
          </w:p>
        </w:tc>
      </w:tr>
      <w:tr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版本不可定位 / 冲突 / 链断</w:t>
            </w:r>
          </w:p>
        </w:tc>
        <w:tc>
          <w:tcPr>
            <w:tcW w:type="dxa" w:w="252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不生成正文，列出已核查版本与原因码</w:t>
            </w:r>
          </w:p>
        </w:tc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流程协调员或审核方判定，必要时暂停</w:t>
            </w:r>
          </w:p>
        </w:tc>
        <w:tc>
          <w:tcPr>
            <w:tcW w:type="dxa" w:w="178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reason_code + 确认记录</w:t>
            </w:r>
          </w:p>
        </w:tc>
      </w:tr>
      <w:tr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关键字段缺失或未确认</w:t>
            </w:r>
          </w:p>
        </w:tc>
        <w:tc>
          <w:tcPr>
            <w:tcW w:type="dxa" w:w="252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标记缺失/未确认，不补默认值</w:t>
            </w:r>
          </w:p>
        </w:tc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一线补齐或审核方确认</w:t>
            </w:r>
          </w:p>
        </w:tc>
        <w:tc>
          <w:tcPr>
            <w:tcW w:type="dxa" w:w="178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字段级状态 + 原行</w:t>
            </w:r>
          </w:p>
        </w:tc>
      </w:tr>
      <w:tr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来源不完整 / 授权不清</w:t>
            </w:r>
          </w:p>
        </w:tc>
        <w:tc>
          <w:tcPr>
            <w:tcW w:type="dxa" w:w="252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拒绝出草稿，转人工复核</w:t>
            </w:r>
          </w:p>
        </w:tc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数字化工程师核对来源与授权</w:t>
            </w:r>
          </w:p>
        </w:tc>
        <w:tc>
          <w:tcPr>
            <w:tcW w:type="dxa" w:w="178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manifest + 复核记录</w:t>
            </w:r>
          </w:p>
        </w:tc>
      </w:tr>
      <w:tr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收费 / 资格类问题</w:t>
            </w:r>
          </w:p>
        </w:tc>
        <w:tc>
          <w:tcPr>
            <w:tcW w:type="dxa" w:w="252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生成草稿但标记不可对外</w:t>
            </w:r>
          </w:p>
        </w:tc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业务负责人或审核方确认口径</w:t>
            </w:r>
          </w:p>
        </w:tc>
        <w:tc>
          <w:tcPr>
            <w:tcW w:type="dxa" w:w="178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授权人 + 版本 + 时间</w:t>
            </w:r>
          </w:p>
        </w:tc>
      </w:tr>
      <w:tr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试点暂停</w:t>
            </w:r>
          </w:p>
        </w:tc>
        <w:tc>
          <w:tcPr>
            <w:tcW w:type="dxa" w:w="252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停止生成草稿，全部转人工</w:t>
            </w:r>
          </w:p>
        </w:tc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审核方决定恢复时机</w:t>
            </w:r>
          </w:p>
        </w:tc>
        <w:tc>
          <w:tcPr>
            <w:tcW w:type="dxa" w:w="178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暂停人 + 原因 + 时间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四、总体架构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总体架构分四层：接入层只读，领域服务层做可解释的判定与草稿，人工协同层承担确认与暂停，审计与报表层只增不改。右侧的“边界与权限”是横切约束，不放在任何一层内部，避免被某一层的实现细节绕过。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40963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总体架构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096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图 3　展商咨询工单版本追溯平台总体架构（v1）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5　四层职责与约束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1831"/>
        <w:gridCol w:w="3878"/>
        <w:gridCol w:w="2908"/>
      </w:tblGrid>
      <w:tr>
        <w:trPr>
          <w:tblHeader w:val="true"/>
        </w:trPr>
        <w:tc>
          <w:tcPr>
            <w:tcW w:type="dxa" w:w="183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层</w:t>
            </w:r>
          </w:p>
        </w:tc>
        <w:tc>
          <w:tcPr>
            <w:tcW w:type="dxa" w:w="387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职责</w:t>
            </w:r>
          </w:p>
        </w:tc>
        <w:tc>
          <w:tcPr>
            <w:tcW w:type="dxa" w:w="290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关键约束</w:t>
            </w:r>
          </w:p>
        </w:tc>
      </w:tr>
      <w:tr>
        <w:tc>
          <w:tcPr>
            <w:tcW w:type="dxa" w:w="18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接入层</w:t>
            </w:r>
          </w:p>
        </w:tc>
        <w:tc>
          <w:tcPr>
            <w:tcW w:type="dxa" w:w="387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只读导出、字段映射、批次白名单、可选只读接口</w:t>
            </w:r>
          </w:p>
        </w:tc>
        <w:tc>
          <w:tcPr>
            <w:tcW w:type="dxa" w:w="29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不写回、不订阅、不持有长期凭据</w:t>
            </w:r>
          </w:p>
        </w:tc>
      </w:tr>
      <w:tr>
        <w:tc>
          <w:tcPr>
            <w:tcW w:type="dxa" w:w="18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领域服务层</w:t>
            </w:r>
          </w:p>
        </w:tc>
        <w:tc>
          <w:tcPr>
            <w:tcW w:type="dxa" w:w="387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受理编号、规则分类、版本判定、交接单/草稿、四项校验</w:t>
            </w:r>
          </w:p>
        </w:tc>
        <w:tc>
          <w:tcPr>
            <w:tcW w:type="dxa" w:w="29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判定可解释；不调用外部模型也可运行</w:t>
            </w:r>
          </w:p>
        </w:tc>
      </w:tr>
      <w:tr>
        <w:tc>
          <w:tcPr>
            <w:tcW w:type="dxa" w:w="18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人工协同层</w:t>
            </w:r>
          </w:p>
        </w:tc>
        <w:tc>
          <w:tcPr>
            <w:tcW w:type="dxa" w:w="387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人工队列、四眼确认、暂停开关、误报/漏报登记</w:t>
            </w:r>
          </w:p>
        </w:tc>
        <w:tc>
          <w:tcPr>
            <w:tcW w:type="dxa" w:w="29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确认是授权人的动作，系统只记录</w:t>
            </w:r>
          </w:p>
        </w:tc>
      </w:tr>
      <w:tr>
        <w:tc>
          <w:tcPr>
            <w:tcW w:type="dxa" w:w="18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审计与报表层</w:t>
            </w:r>
          </w:p>
        </w:tc>
        <w:tc>
          <w:tcPr>
            <w:tcW w:type="dxa" w:w="387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哈希链、三项指标、周报与抽查、审计只读导出</w:t>
            </w:r>
          </w:p>
        </w:tc>
        <w:tc>
          <w:tcPr>
            <w:tcW w:type="dxa" w:w="29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只增不改；链断可定位</w:t>
            </w:r>
          </w:p>
        </w:tc>
      </w:tr>
    </w:tbl>
    <w:p>
      <w:pPr>
        <w:spacing w:after="40"/>
      </w:pP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附录 A　Mermaid 源码（可编辑）</w:t>
      </w:r>
    </w:p>
    <w:p>
      <w:pPr>
        <w:spacing w:line="348" w:lineRule="auto"/>
        <w:ind w:firstLine="380"/>
        <w:jc w:val="both"/>
      </w:pPr>
      <w:r>
        <w:rPr>
          <w:rFonts w:ascii="宋体" w:hAnsi="宋体" w:eastAsia="宋体"/>
          <w:b w:val="0"/>
          <w:i w:val="0"/>
          <w:sz w:val="19"/>
        </w:rPr>
        <w:t>以下源码与 PNG 图对应，可直接粘贴到支持 Mermaid 的编辑器（GitHub、Typora、VS Code）修改。完整版见仓库 docs/flowchart.md。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A.1 现状流程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>flowchart TD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S([开始：展商咨询进入]) --&gt; A[① 咨询接收与登记]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A --&gt; B[② 问题分类]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B --&gt; C[③ 政策版本检索&lt;br/&gt;有效期 + 确认状态]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C --&gt; D{版本可定位且已确认？}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D -- 否 --&gt; F1[兜底 A：标记异常 / 保留原值 / 转人工队列]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D -- 是 --&gt; E[④ 转派与交接]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E --&gt; G[⑤ 生成回复草稿&lt;br/&gt;固定“未确认 · 不可对外”]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G --&gt; H{关键字段完整、来源可追溯？}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H -- 否 --&gt; F2[兜底 B：转人工复核 / 不默认通过]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H -- 是 --&gt; I[⑥ 回复审核（人工确认）]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I --&gt; J[⑦ 对外回复（人工发出）]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J --&gt; K[⑧ 闭环与复盘]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K --&gt; T([结束])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F1 -. 确认后回流 .-&gt; K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F2 -. 确认后回流 .-&gt; K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A.2 转型后流程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>flowchart TD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S([开始：统一受理入口 / 单批次白名单]) --&gt; A[① 统一受理与登记&lt;br/&gt;只读导出 · 双时间戳 · 统一编号]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A --&gt; B[② 规则分类]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B --&gt; C[③ 版本判定服务&lt;br/&gt;有效期 + 确认 + 版本链]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C --&gt; D{可定位且已确认？}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D -- 否 --&gt; Q[人工队列：原因码 · 责任人 · SLA · 暂停开关]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D -- 是 --&gt; E[④ 交接单自动生成]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E --&gt; G[⑤ 草稿生成&lt;br/&gt;水印 + 来源引用 + 已排除版本]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G --&gt; H{字段完整 / 来源可追溯 / 授权相符？}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H -- 否 --&gt; R[人工复核：补齐字段 / 确认授权]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H -- 是 --&gt; I[⑥ 人工四眼确认]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I --&gt; J[⑦ 人工对外发送&lt;br/&gt;系统不发送任何外部消息]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J --&gt; K[⑧ 审计与周报&lt;br/&gt;哈希链 · 三项指标]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K --&gt; T([结束])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Q -. 确认后回流 .-&gt; K</w:t>
      </w:r>
    </w:p>
    <w:p>
      <w:pPr>
        <w:spacing w:after="0" w:line="252" w:lineRule="auto"/>
        <w:ind w:left="200"/>
        <w:shd w:val="clear" w:fill="F4F6FA"/>
      </w:pPr>
      <w:r>
        <w:rPr>
          <w:rFonts w:ascii="Consolas" w:hAnsi="Consolas" w:eastAsia="Consolas"/>
          <w:b w:val="0"/>
          <w:i w:val="0"/>
          <w:color w:val="595959"/>
          <w:sz w:val="16"/>
        </w:rPr>
        <w:t xml:space="preserve">  R -. 确认后回流 .-&gt; K</w:t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附录 B　图片文件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6　图片清单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3535"/>
        <w:gridCol w:w="2320"/>
        <w:gridCol w:w="2762"/>
      </w:tblGrid>
      <w:tr>
        <w:trPr>
          <w:tblHeader w:val="true"/>
        </w:trPr>
        <w:tc>
          <w:tcPr>
            <w:tcW w:type="dxa" w:w="353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文件</w:t>
            </w:r>
          </w:p>
        </w:tc>
        <w:tc>
          <w:tcPr>
            <w:tcW w:type="dxa" w:w="2320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尺寸</w:t>
            </w:r>
          </w:p>
        </w:tc>
        <w:tc>
          <w:tcPr>
            <w:tcW w:type="dxa" w:w="276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用途</w:t>
            </w:r>
          </w:p>
        </w:tc>
      </w:tr>
      <w:tr>
        <w:tc>
          <w:tcPr>
            <w:tcW w:type="dxa" w:w="353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03-图表/现状流程图.png</w:t>
            </w:r>
          </w:p>
        </w:tc>
        <w:tc>
          <w:tcPr>
            <w:tcW w:type="dxa" w:w="232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1700 × 2460</w:t>
            </w:r>
          </w:p>
        </w:tc>
        <w:tc>
          <w:tcPr>
            <w:tcW w:type="dxa" w:w="27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现状培训、问题定位</w:t>
            </w:r>
          </w:p>
        </w:tc>
      </w:tr>
      <w:tr>
        <w:tc>
          <w:tcPr>
            <w:tcW w:type="dxa" w:w="353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03-图表/数智化转型后流程图.png</w:t>
            </w:r>
          </w:p>
        </w:tc>
        <w:tc>
          <w:tcPr>
            <w:tcW w:type="dxa" w:w="232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1700 × 2470</w:t>
            </w:r>
          </w:p>
        </w:tc>
        <w:tc>
          <w:tcPr>
            <w:tcW w:type="dxa" w:w="27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方案宣讲、开发对齐</w:t>
            </w:r>
          </w:p>
        </w:tc>
      </w:tr>
      <w:tr>
        <w:tc>
          <w:tcPr>
            <w:tcW w:type="dxa" w:w="353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03-图表/总体架构图.png</w:t>
            </w:r>
          </w:p>
        </w:tc>
        <w:tc>
          <w:tcPr>
            <w:tcW w:type="dxa" w:w="232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1700 × 1240</w:t>
            </w:r>
          </w:p>
        </w:tc>
        <w:tc>
          <w:tcPr>
            <w:tcW w:type="dxa" w:w="27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架构评审、部署说明</w:t>
            </w:r>
          </w:p>
        </w:tc>
      </w:tr>
    </w:tbl>
    <w:p>
      <w:pPr>
        <w:spacing w:after="40"/>
      </w:pPr>
    </w:p>
    <w:p>
      <w:pPr>
        <w:spacing w:line="348" w:lineRule="auto"/>
        <w:ind w:firstLine="360"/>
        <w:jc w:val="both"/>
      </w:pPr>
      <w:r>
        <w:rPr>
          <w:rFonts w:ascii="宋体" w:hAnsi="宋体" w:eastAsia="宋体"/>
          <w:b w:val="0"/>
          <w:i w:val="0"/>
          <w:color w:val="595959"/>
          <w:sz w:val="18"/>
        </w:rPr>
        <w:t>三张图均为矢量绘制脚本输出的高分辨率 PNG，可随文档一起归档；修改时优先改脚本或 Mermaid 源码，避免直接拉伸图片。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247" w:header="680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595959"/>
        <w:sz w:val="17"/>
      </w:rPr>
      <w:t xml:space="preserve">第 </w:t>
    </w:r>
    <w:r>
      <w:rPr>
        <w:rFonts w:ascii="宋体" w:hAnsi="宋体" w:eastAsia="宋体"/>
        <w:b w:val="0"/>
        <w:i w:val="0"/>
        <w:color w:val="59595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/>
        <w:b w:val="0"/>
        <w:i w:val="0"/>
        <w:color w:val="595959"/>
        <w:sz w:val="17"/>
      </w:rPr>
      <w:t xml:space="preserve"> 页 · 共 </w:t>
    </w:r>
    <w:r>
      <w:rPr>
        <w:rFonts w:ascii="宋体" w:hAnsi="宋体" w:eastAsia="宋体"/>
        <w:b w:val="0"/>
        <w:i w:val="0"/>
        <w:color w:val="595959"/>
        <w:sz w:val="17"/>
      </w:rPr>
      <w:fldChar w:fldCharType="begin"/>
      <w:instrText xml:space="preserve"> NUMPAGES </w:instrText>
      <w:fldChar w:fldCharType="separate"/>
      <w:t>1</w:t>
      <w:fldChar w:fldCharType="end"/>
    </w:r>
    <w:r>
      <w:rPr>
        <w:rFonts w:ascii="宋体" w:hAnsi="宋体" w:eastAsia="宋体"/>
        <w:b w:val="0"/>
        <w:i w:val="0"/>
        <w:color w:val="595959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b w:val="0"/>
        <w:i w:val="0"/>
        <w:color w:val="7F7F7F"/>
        <w:sz w:val="16"/>
      </w:rPr>
      <w:t>展商咨询工单版本追溯 · v1 设计方案　|　内部资料 · 合成样本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展商咨询工单处理流程图：现状与数智化转型后</dc:title>
  <dc:subject>v1 设计方案 · 流程图说明</dc:subject>
  <dc:creator>业务分析组</dc:creator>
  <cp:keywords/>
  <dc:description>v1 设计方案 · 合成样本数据 · 只读试点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