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0000" w:val="clear"/>
        <w:spacing w:after="0" w:before="0"/>
      </w:pPr>
      <w:r>
        <w:rPr>
          <w:rFonts w:ascii="Arial" w:cs="Arial" w:eastAsia="Arial" w:hAnsi="Arial"/>
          <w:b/>
          <w:bCs/>
          <w:color w:val="F2F2F2"/>
          <w:sz w:val="28"/>
          <w:szCs w:val="28"/>
        </w:rPr>
        <w:t xml:space="preserve">  C  </w:t>
      </w:r>
      <w:r>
        <w:rPr>
          <w:rFonts w:ascii="Arial" w:cs="Arial" w:eastAsia="Arial" w:hAnsi="Arial"/>
          <w:color w:val="000000"/>
          <w:sz w:val="22"/>
          <w:szCs w:val="22"/>
        </w:rPr>
        <w:t xml:space="preserve">   THE CORPORATE</w:t>
      </w:r>
    </w:p>
    <w:p>
      <w:pPr>
        <w:spacing w:after="0" w:before="1200"/>
      </w:pPr>
      <w:r>
        <w:t xml:space="preserve"/>
      </w:r>
    </w:p>
    <w:p>
      <w:pPr>
        <w:spacing w:after="200" w:before="0"/>
      </w:pPr>
      <w:r>
        <w:rPr>
          <w:rFonts w:ascii="Georgia" w:cs="Georgia" w:eastAsia="Georgia" w:hAnsi="Georgia"/>
          <w:b/>
          <w:bCs/>
          <w:color w:val="000000"/>
          <w:sz w:val="80"/>
          <w:szCs w:val="80"/>
        </w:rPr>
        <w:t xml:space="preserve">NET-ZERO 2045</w:t>
      </w:r>
    </w:p>
    <w:p>
      <w:pPr>
        <w:spacing w:after="160" w:before="0"/>
      </w:pPr>
      <w:r>
        <w:rPr>
          <w:rFonts w:ascii="Georgia" w:cs="Georgia" w:eastAsia="Georgia" w:hAnsi="Georgia"/>
          <w:color w:val="000000"/>
          <w:sz w:val="40"/>
          <w:szCs w:val="40"/>
        </w:rPr>
        <w:t xml:space="preserve">Targets, Milestones &amp; Abatement Strategy</w:t>
      </w:r>
    </w:p>
    <w:p>
      <w:pPr>
        <w:spacing w:after="400" w:before="0"/>
      </w:pPr>
      <w:r>
        <w:rPr>
          <w:rFonts w:ascii="Arial" w:cs="Arial" w:eastAsia="Arial" w:hAnsi="Arial"/>
          <w:color w:val="B6B09F"/>
          <w:sz w:val="22"/>
          <w:szCs w:val="22"/>
        </w:rPr>
        <w:t xml:space="preserve">Revised — Workbook-Authoritative Numbers</w:t>
      </w:r>
    </w:p>
    <w:p>
      <w:pPr>
        <w:pBdr>
          <w:bottom w:val="single" w:color="000000" w:sz="4"/>
        </w:pBdr>
        <w:spacing w:after="80" w:before="80"/>
      </w:pPr>
      <w:r>
        <w:t xml:space="preserve"/>
      </w:r>
    </w:p>
    <w:p>
      <w:pPr>
        <w:spacing w:after="0" w:before="240"/>
      </w:pPr>
      <w:r>
        <w:t xml:space="preserve"/>
      </w:r>
    </w:p>
    <w:p>
      <w:pPr>
        <w:spacing w:after="50" w:before="60"/>
      </w:pPr>
      <w:r>
        <w:rPr>
          <w:rFonts w:ascii="Arial" w:cs="Arial" w:eastAsia="Arial" w:hAnsi="Arial"/>
          <w:b/>
          <w:bCs/>
          <w:color w:val="000000"/>
          <w:sz w:val="21"/>
          <w:szCs w:val="21"/>
        </w:rPr>
        <w:t xml:space="preserve">Scope 1+2 Baseline (Location-Based): </w:t>
      </w:r>
      <w:r>
        <w:rPr>
          <w:rFonts w:ascii="Arial" w:cs="Arial" w:eastAsia="Arial" w:hAnsi="Arial"/>
          <w:color w:val="000000"/>
          <w:sz w:val="21"/>
          <w:szCs w:val="21"/>
        </w:rPr>
        <w:t xml:space="preserve">193,663 tCO2e</w:t>
      </w:r>
    </w:p>
    <w:p>
      <w:pPr>
        <w:spacing w:after="50" w:before="60"/>
      </w:pPr>
      <w:r>
        <w:rPr>
          <w:rFonts w:ascii="Arial" w:cs="Arial" w:eastAsia="Arial" w:hAnsi="Arial"/>
          <w:b/>
          <w:bCs/>
          <w:color w:val="000000"/>
          <w:sz w:val="21"/>
          <w:szCs w:val="21"/>
        </w:rPr>
        <w:t xml:space="preserve">Scope 1+2 Baseline (Market-Based): </w:t>
      </w:r>
      <w:r>
        <w:rPr>
          <w:rFonts w:ascii="Arial" w:cs="Arial" w:eastAsia="Arial" w:hAnsi="Arial"/>
          <w:color w:val="000000"/>
          <w:sz w:val="21"/>
          <w:szCs w:val="21"/>
        </w:rPr>
        <w:t xml:space="preserve">166,874 tCO2e</w:t>
      </w:r>
    </w:p>
    <w:p>
      <w:pPr>
        <w:spacing w:after="50" w:before="60"/>
      </w:pPr>
      <w:r>
        <w:rPr>
          <w:rFonts w:ascii="Arial" w:cs="Arial" w:eastAsia="Arial" w:hAnsi="Arial"/>
          <w:b/>
          <w:bCs/>
          <w:color w:val="000000"/>
          <w:sz w:val="21"/>
          <w:szCs w:val="21"/>
        </w:rPr>
        <w:t xml:space="preserve">Scope 3 Baseline: </w:t>
      </w:r>
      <w:r>
        <w:rPr>
          <w:rFonts w:ascii="Arial" w:cs="Arial" w:eastAsia="Arial" w:hAnsi="Arial"/>
          <w:color w:val="000000"/>
          <w:sz w:val="21"/>
          <w:szCs w:val="21"/>
        </w:rPr>
        <w:t xml:space="preserve">1,401,560 tCO2e</w:t>
      </w:r>
    </w:p>
    <w:p>
      <w:pPr>
        <w:spacing w:after="50" w:before="60"/>
      </w:pPr>
      <w:r>
        <w:rPr>
          <w:rFonts w:ascii="Arial" w:cs="Arial" w:eastAsia="Arial" w:hAnsi="Arial"/>
          <w:b/>
          <w:bCs/>
          <w:color w:val="000000"/>
          <w:sz w:val="21"/>
          <w:szCs w:val="21"/>
        </w:rPr>
        <w:t xml:space="preserve">Total Footprint (Market-Based): </w:t>
      </w:r>
      <w:r>
        <w:rPr>
          <w:rFonts w:ascii="Arial" w:cs="Arial" w:eastAsia="Arial" w:hAnsi="Arial"/>
          <w:color w:val="000000"/>
          <w:sz w:val="21"/>
          <w:szCs w:val="21"/>
        </w:rPr>
        <w:t xml:space="preserve">1,568,434 tCO2e</w:t>
      </w:r>
    </w:p>
    <w:p>
      <w:pPr>
        <w:spacing w:after="50" w:before="60"/>
      </w:pPr>
      <w:r>
        <w:rPr>
          <w:rFonts w:ascii="Arial" w:cs="Arial" w:eastAsia="Arial" w:hAnsi="Arial"/>
          <w:b/>
          <w:bCs/>
          <w:color w:val="000000"/>
          <w:sz w:val="21"/>
          <w:szCs w:val="21"/>
        </w:rPr>
        <w:t xml:space="preserve">Shadow Carbon Price: </w:t>
      </w:r>
      <w:r>
        <w:rPr>
          <w:rFonts w:ascii="Arial" w:cs="Arial" w:eastAsia="Arial" w:hAnsi="Arial"/>
          <w:color w:val="000000"/>
          <w:sz w:val="21"/>
          <w:szCs w:val="21"/>
        </w:rPr>
        <w:t xml:space="preserve">$100 per tCO2e</w:t>
      </w:r>
    </w:p>
    <w:p>
      <w:pPr>
        <w:spacing w:after="50" w:before="60"/>
      </w:pPr>
      <w:r>
        <w:rPr>
          <w:rFonts w:ascii="Arial" w:cs="Arial" w:eastAsia="Arial" w:hAnsi="Arial"/>
          <w:b/>
          <w:bCs/>
          <w:color w:val="000000"/>
          <w:sz w:val="21"/>
          <w:szCs w:val="21"/>
        </w:rPr>
        <w:t xml:space="preserve">Framework: </w:t>
      </w:r>
      <w:r>
        <w:rPr>
          <w:rFonts w:ascii="Arial" w:cs="Arial" w:eastAsia="Arial" w:hAnsi="Arial"/>
          <w:color w:val="000000"/>
          <w:sz w:val="21"/>
          <w:szCs w:val="21"/>
        </w:rPr>
        <w:t xml:space="preserve">SBTi 1.5 Degrees Celsius Aligned</w:t>
      </w:r>
    </w:p>
    <w:p>
      <w:pPr>
        <w:spacing w:after="50" w:before="60"/>
      </w:pPr>
      <w:r>
        <w:rPr>
          <w:rFonts w:ascii="Arial" w:cs="Arial" w:eastAsia="Arial" w:hAnsi="Arial"/>
          <w:b/>
          <w:bCs/>
          <w:color w:val="000000"/>
          <w:sz w:val="21"/>
          <w:szCs w:val="21"/>
        </w:rPr>
        <w:t xml:space="preserve">Data Source: </w:t>
      </w:r>
      <w:r>
        <w:rPr>
          <w:rFonts w:ascii="Arial" w:cs="Arial" w:eastAsia="Arial" w:hAnsi="Arial"/>
          <w:color w:val="000000"/>
          <w:sz w:val="21"/>
          <w:szCs w:val="21"/>
        </w:rPr>
        <w:t xml:space="preserve">TheCorporate_Emissions_Energy_2023.xlsx</w:t>
      </w:r>
    </w:p>
    <w:p>
      <w:pPr>
        <w:spacing w:after="50" w:before="60"/>
      </w:pPr>
      <w:r>
        <w:rPr>
          <w:rFonts w:ascii="Arial" w:cs="Arial" w:eastAsia="Arial" w:hAnsi="Arial"/>
          <w:b/>
          <w:bCs/>
          <w:color w:val="000000"/>
          <w:sz w:val="21"/>
          <w:szCs w:val="21"/>
        </w:rPr>
        <w:t xml:space="preserve">Issued: </w:t>
      </w:r>
      <w:r>
        <w:rPr>
          <w:rFonts w:ascii="Arial" w:cs="Arial" w:eastAsia="Arial" w:hAnsi="Arial"/>
          <w:color w:val="000000"/>
          <w:sz w:val="21"/>
          <w:szCs w:val="21"/>
        </w:rPr>
        <w:t xml:space="preserve">16 May 2026</w:t>
      </w:r>
    </w:p>
    <w:p>
      <w:pPr>
        <w:spacing w:after="0" w:before="600"/>
      </w:pPr>
      <w:r>
        <w:t xml:space="preserve"/>
      </w:r>
    </w:p>
    <w:p>
      <w:pPr>
        <w:spacing w:after="0" w:before="0"/>
      </w:pPr>
      <w:r>
        <w:rPr>
          <w:rFonts w:ascii="Arial" w:cs="Arial" w:eastAsia="Arial" w:hAnsi="Arial"/>
          <w:caps/>
          <w:color w:val="B6B09F"/>
          <w:sz w:val="17"/>
          <w:szCs w:val="17"/>
        </w:rPr>
        <w:t xml:space="preserve">CONFIDENTIAL</w:t>
      </w:r>
    </w:p>
    <w:p>
      <w:r>
        <w:br w:type="page"/>
      </w:r>
    </w:p>
    <w:p>
      <w:pPr>
        <w:pBdr>
          <w:bottom w:val="single" w:color="000000" w:sz="8"/>
        </w:pBdr>
        <w:spacing w:after="160" w:before="480"/>
      </w:pPr>
      <w:r>
        <w:rPr>
          <w:rFonts w:ascii="Georgia" w:cs="Georgia" w:eastAsia="Georgia" w:hAnsi="Georgia"/>
          <w:b/>
          <w:bCs/>
          <w:color w:val="000000"/>
          <w:sz w:val="48"/>
          <w:szCs w:val="48"/>
        </w:rPr>
        <w:t xml:space="preserve">1. Executive Summary</w:t>
      </w:r>
    </w:p>
    <w:p>
      <w:pPr>
        <w:spacing w:after="80" w:before="60"/>
        <w:jc w:val="left"/>
      </w:pPr>
      <w:r>
        <w:rPr>
          <w:rFonts w:ascii="Arial" w:cs="Arial" w:eastAsia="Arial" w:hAnsi="Arial"/>
          <w:b w:val="false"/>
          <w:bCs w:val="false"/>
          <w:i w:val="false"/>
          <w:iCs w:val="false"/>
          <w:caps w:val="false"/>
          <w:color w:val="000000"/>
          <w:sz w:val="21"/>
          <w:szCs w:val="21"/>
        </w:rPr>
        <w:t xml:space="preserve">This document has been revised to reflect the authoritative numbers from TheCorporate_Emissions_Energy_2023.xlsx. All figures from Section 2 onwards supersede the prior strategy document issued 7 May 2026. The baseline has increased materially: Scope 3 rises from 485,000 to 1,401,560 tCO2e, reflecting the full 15-category GHG Protocol breakdown applied at facility level. Scope 1+2 is broadly consistent at 193,663 tCO2e location-based and 166,874 tCO2e market-based.</w:t>
      </w:r>
    </w:p>
    <w:p>
      <w:pPr>
        <w:spacing w:after="80" w:before="60"/>
        <w:jc w:val="left"/>
      </w:pPr>
      <w:r>
        <w:rPr>
          <w:rFonts w:ascii="Arial" w:cs="Arial" w:eastAsia="Arial" w:hAnsi="Arial"/>
          <w:b w:val="false"/>
          <w:bCs w:val="false"/>
          <w:i w:val="false"/>
          <w:iCs w:val="false"/>
          <w:caps w:val="false"/>
          <w:color w:val="000000"/>
          <w:sz w:val="21"/>
          <w:szCs w:val="21"/>
        </w:rPr>
        <w:t xml:space="preserve">The Net-Zero 2045 commitment, SBTi 1.5 degrees Celsius alignment, $100/t shadow carbon price, and 4-wave abatement structure are all unchanged. What changes is the scale: the gross carbon debt to be neutralised by 2045 rises from approximately 1.96M tCO2e to 4.59M tCO2e at 5% annual growth. The SBTi 10% removals cap rises to 458,808 tCO2e — a maximum DAC liability of $91.8M at $200/t.</w:t>
      </w:r>
    </w:p>
    <w:p>
      <w:pPr>
        <w:shd w:fill="000000" w:val="clear"/>
        <w:spacing w:after="0" w:before="0"/>
        <w:ind w:left="160" w:right="160"/>
      </w:pPr>
      <w:r>
        <w:rPr>
          <w:rFonts w:ascii="Arial" w:cs="Arial" w:eastAsia="Arial" w:hAnsi="Arial"/>
          <w:b/>
          <w:bCs/>
          <w:caps/>
          <w:color w:val="C8F135"/>
          <w:sz w:val="19"/>
          <w:szCs w:val="19"/>
        </w:rPr>
        <w:t xml:space="preserve">KEY CHANGE: Total footprint = 1,568,434 tCO2e (market-based). The 2030 SBTi target is now 784,217 tCO2e, not 337,750.</w:t>
      </w:r>
    </w:p>
    <w:p>
      <w:pPr>
        <w:spacing w:after="0" w:before="120"/>
      </w:pPr>
      <w:r>
        <w:t xml:space="preserve"/>
      </w:r>
    </w:p>
    <w:p>
      <w:pPr>
        <w:spacing w:after="80" w:before="60"/>
        <w:jc w:val="left"/>
      </w:pPr>
      <w:r>
        <w:rPr>
          <w:rFonts w:ascii="Arial" w:cs="Arial" w:eastAsia="Arial" w:hAnsi="Arial"/>
          <w:b w:val="false"/>
          <w:bCs w:val="false"/>
          <w:i w:val="false"/>
          <w:iCs w:val="false"/>
          <w:caps w:val="false"/>
          <w:color w:val="000000"/>
          <w:sz w:val="21"/>
          <w:szCs w:val="21"/>
        </w:rPr>
        <w:t xml:space="preserve">The current approved lever portfolio (approximately 635,000 tCO2e abatement potential) covers 14% of the revised gross carbon debt. Portfolio augmentation is required. Cat 1 purchased goods (728,500 tCO2e, 52% of Scope 3) and Cat 11 product use-phase (320,000 tCO2e, 22.8%) are the two categories that must drive the expanded programme.</w:t>
      </w:r>
    </w:p>
    <w:p>
      <w:pPr>
        <w:spacing w:after="0" w:before="200"/>
      </w:pPr>
      <w:r>
        <w:t xml:space="preserve"/>
      </w:r>
    </w:p>
    <w:p>
      <w:pPr>
        <w:pBdr>
          <w:bottom w:val="single" w:color="000000" w:sz="8"/>
        </w:pBdr>
        <w:spacing w:after="160" w:before="480"/>
      </w:pPr>
      <w:r>
        <w:rPr>
          <w:rFonts w:ascii="Georgia" w:cs="Georgia" w:eastAsia="Georgia" w:hAnsi="Georgia"/>
          <w:b/>
          <w:bCs/>
          <w:color w:val="000000"/>
          <w:sz w:val="48"/>
          <w:szCs w:val="48"/>
        </w:rPr>
        <w:t xml:space="preserve">2. 2023 Baseline Emissions Inventory</w:t>
      </w:r>
    </w:p>
    <w:p>
      <w:pPr>
        <w:spacing w:after="120" w:before="400"/>
      </w:pPr>
      <w:r>
        <w:rPr>
          <w:rFonts w:ascii="Georgia" w:cs="Georgia" w:eastAsia="Georgia" w:hAnsi="Georgia"/>
          <w:color w:val="000000"/>
          <w:sz w:val="36"/>
          <w:szCs w:val="36"/>
        </w:rPr>
        <w:t xml:space="preserve">2.1  Scope 1 &amp; 2 — Operational Emissions</w:t>
      </w:r>
    </w:p>
    <w:p>
      <w:pPr>
        <w:spacing w:after="80" w:before="60"/>
        <w:jc w:val="left"/>
      </w:pPr>
      <w:r>
        <w:rPr>
          <w:rFonts w:ascii="Arial" w:cs="Arial" w:eastAsia="Arial" w:hAnsi="Arial"/>
          <w:b w:val="false"/>
          <w:bCs w:val="false"/>
          <w:i w:val="false"/>
          <w:iCs w:val="false"/>
          <w:caps w:val="false"/>
          <w:color w:val="000000"/>
          <w:sz w:val="21"/>
          <w:szCs w:val="21"/>
        </w:rPr>
        <w:t xml:space="preserve">Source: TheCorporate_Emissions_Energy_2023.xlsx, Scope 1 Detail and Scope 2 Detail sheets. Emission factors from the Emission Factors sheet, referencing IPCC AR6, IEA 2022-2023, and national grid regulators. Scope 2 is presented under both location-based (LB) and market-based (MB) methods. Market-based is the primary baseline for all target calculations.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60"/>
        <w:gridCol w:w="1400"/>
        <w:gridCol w:w="1440"/>
        <w:gridCol w:w="1360"/>
        <w:gridCol w:w="1400"/>
      </w:tblGrid>
      <w:tr>
        <w:trPr>
          <w:tblHeader/>
        </w:trPr>
        <w:tc>
          <w:tcPr>
            <w:tcW w:type="dxa" w:w="2400"/>
            <w:tcBorders>
              <w:top w:val="single" w:color="B6B09F" w:sz="1"/>
              <w:left w:val="single" w:color="B6B09F" w:sz="1"/>
              <w:bottom w:val="single" w:color="B6B09F" w:sz="1"/>
              <w:right w:val="single" w:color="B6B09F" w:sz="1"/>
            </w:tcBorders>
            <w:shd w:fill="00000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5"/>
                <w:szCs w:val="15"/>
              </w:rPr>
              <w:t xml:space="preserve">Facility</w:t>
            </w:r>
          </w:p>
        </w:tc>
        <w:tc>
          <w:tcPr>
            <w:tcW w:type="dxa" w:w="1360"/>
            <w:tcBorders>
              <w:top w:val="single" w:color="B6B09F" w:sz="1"/>
              <w:left w:val="single" w:color="B6B09F" w:sz="1"/>
              <w:bottom w:val="single" w:color="B6B09F" w:sz="1"/>
              <w:right w:val="single" w:color="B6B09F" w:sz="1"/>
            </w:tcBorders>
            <w:shd w:fill="00000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5"/>
                <w:szCs w:val="15"/>
              </w:rPr>
              <w:t xml:space="preserve">Scope 1 (tCO2e)</w:t>
            </w:r>
          </w:p>
        </w:tc>
        <w:tc>
          <w:tcPr>
            <w:tcW w:type="dxa" w:w="1400"/>
            <w:tcBorders>
              <w:top w:val="single" w:color="B6B09F" w:sz="1"/>
              <w:left w:val="single" w:color="B6B09F" w:sz="1"/>
              <w:bottom w:val="single" w:color="B6B09F" w:sz="1"/>
              <w:right w:val="single" w:color="B6B09F" w:sz="1"/>
            </w:tcBorders>
            <w:shd w:fill="00000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5"/>
                <w:szCs w:val="15"/>
              </w:rPr>
              <w:t xml:space="preserve">S2 Loc-Based</w:t>
            </w:r>
          </w:p>
        </w:tc>
        <w:tc>
          <w:tcPr>
            <w:tcW w:type="dxa" w:w="1440"/>
            <w:tcBorders>
              <w:top w:val="single" w:color="B6B09F" w:sz="1"/>
              <w:left w:val="single" w:color="B6B09F" w:sz="1"/>
              <w:bottom w:val="single" w:color="B6B09F" w:sz="1"/>
              <w:right w:val="single" w:color="B6B09F" w:sz="1"/>
            </w:tcBorders>
            <w:shd w:fill="00000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5"/>
                <w:szCs w:val="15"/>
              </w:rPr>
              <w:t xml:space="preserve">S1+S2 Loc-Based</w:t>
            </w:r>
          </w:p>
        </w:tc>
        <w:tc>
          <w:tcPr>
            <w:tcW w:type="dxa" w:w="1360"/>
            <w:tcBorders>
              <w:top w:val="single" w:color="B6B09F" w:sz="1"/>
              <w:left w:val="single" w:color="B6B09F" w:sz="1"/>
              <w:bottom w:val="single" w:color="B6B09F" w:sz="1"/>
              <w:right w:val="single" w:color="B6B09F" w:sz="1"/>
            </w:tcBorders>
            <w:shd w:fill="00000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5"/>
                <w:szCs w:val="15"/>
              </w:rPr>
              <w:t xml:space="preserve">S2 Mkt-Based</w:t>
            </w:r>
          </w:p>
        </w:tc>
        <w:tc>
          <w:tcPr>
            <w:tcW w:type="dxa" w:w="1400"/>
            <w:tcBorders>
              <w:top w:val="single" w:color="B6B09F" w:sz="1"/>
              <w:left w:val="single" w:color="B6B09F" w:sz="1"/>
              <w:bottom w:val="single" w:color="B6B09F" w:sz="1"/>
              <w:right w:val="single" w:color="B6B09F" w:sz="1"/>
            </w:tcBorders>
            <w:shd w:fill="00000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5"/>
                <w:szCs w:val="15"/>
              </w:rPr>
              <w:t xml:space="preserve">S1+S2 Mkt-Based</w:t>
            </w:r>
          </w:p>
        </w:tc>
      </w:tr>
      <w:tr>
        <w:tc>
          <w:tcPr>
            <w:tcW w:type="dxa" w:w="24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8"/>
                <w:szCs w:val="18"/>
              </w:rPr>
              <w:t xml:space="preserve">Hanoi Hub (Vietnam)</w:t>
            </w:r>
          </w:p>
        </w:tc>
        <w:tc>
          <w:tcPr>
            <w:tcW w:type="dxa" w:w="13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6,175</w:t>
            </w:r>
          </w:p>
        </w:tc>
        <w:tc>
          <w:tcPr>
            <w:tcW w:type="dxa" w:w="14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28,629</w:t>
            </w:r>
          </w:p>
        </w:tc>
        <w:tc>
          <w:tcPr>
            <w:tcW w:type="dxa" w:w="144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34,804</w:t>
            </w:r>
          </w:p>
        </w:tc>
        <w:tc>
          <w:tcPr>
            <w:tcW w:type="dxa" w:w="13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24,680</w:t>
            </w:r>
          </w:p>
        </w:tc>
        <w:tc>
          <w:tcPr>
            <w:tcW w:type="dxa" w:w="14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30,855</w:t>
            </w:r>
          </w:p>
        </w:tc>
      </w:tr>
      <w:tr>
        <w:tc>
          <w:tcPr>
            <w:tcW w:type="dxa" w:w="24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8"/>
                <w:szCs w:val="18"/>
              </w:rPr>
              <w:t xml:space="preserve">Guadalajara Gigafactory (Mexico)</w:t>
            </w:r>
          </w:p>
        </w:tc>
        <w:tc>
          <w:tcPr>
            <w:tcW w:type="dxa" w:w="13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3,132</w:t>
            </w:r>
          </w:p>
        </w:tc>
        <w:tc>
          <w:tcPr>
            <w:tcW w:type="dxa" w:w="14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32,688</w:t>
            </w:r>
          </w:p>
        </w:tc>
        <w:tc>
          <w:tcPr>
            <w:tcW w:type="dxa" w:w="144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35,820</w:t>
            </w:r>
          </w:p>
        </w:tc>
        <w:tc>
          <w:tcPr>
            <w:tcW w:type="dxa" w:w="13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22,700</w:t>
            </w:r>
          </w:p>
        </w:tc>
        <w:tc>
          <w:tcPr>
            <w:tcW w:type="dxa" w:w="14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25,832</w:t>
            </w:r>
          </w:p>
        </w:tc>
      </w:tr>
      <w:tr>
        <w:tc>
          <w:tcPr>
            <w:tcW w:type="dxa" w:w="24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8"/>
                <w:szCs w:val="18"/>
              </w:rPr>
              <w:t xml:space="preserve">Shenzhen Systems (China)</w:t>
            </w:r>
          </w:p>
        </w:tc>
        <w:tc>
          <w:tcPr>
            <w:tcW w:type="dxa" w:w="13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7,966</w:t>
            </w:r>
          </w:p>
        </w:tc>
        <w:tc>
          <w:tcPr>
            <w:tcW w:type="dxa" w:w="14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54,614</w:t>
            </w:r>
          </w:p>
        </w:tc>
        <w:tc>
          <w:tcPr>
            <w:tcW w:type="dxa" w:w="144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62,580</w:t>
            </w:r>
          </w:p>
        </w:tc>
        <w:tc>
          <w:tcPr>
            <w:tcW w:type="dxa" w:w="13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51,128</w:t>
            </w:r>
          </w:p>
        </w:tc>
        <w:tc>
          <w:tcPr>
            <w:tcW w:type="dxa" w:w="14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59,094</w:t>
            </w:r>
          </w:p>
        </w:tc>
      </w:tr>
      <w:tr>
        <w:tc>
          <w:tcPr>
            <w:tcW w:type="dxa" w:w="24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8"/>
                <w:szCs w:val="18"/>
              </w:rPr>
              <w:t xml:space="preserve">Wroclaw Precision (Poland)</w:t>
            </w:r>
          </w:p>
        </w:tc>
        <w:tc>
          <w:tcPr>
            <w:tcW w:type="dxa" w:w="13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4,344</w:t>
            </w:r>
          </w:p>
        </w:tc>
        <w:tc>
          <w:tcPr>
            <w:tcW w:type="dxa" w:w="14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22,506</w:t>
            </w:r>
          </w:p>
        </w:tc>
        <w:tc>
          <w:tcPr>
            <w:tcW w:type="dxa" w:w="144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26,850</w:t>
            </w:r>
          </w:p>
        </w:tc>
        <w:tc>
          <w:tcPr>
            <w:tcW w:type="dxa" w:w="13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15,972</w:t>
            </w:r>
          </w:p>
        </w:tc>
        <w:tc>
          <w:tcPr>
            <w:tcW w:type="dxa" w:w="14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20,316</w:t>
            </w:r>
          </w:p>
        </w:tc>
      </w:tr>
      <w:tr>
        <w:tc>
          <w:tcPr>
            <w:tcW w:type="dxa" w:w="24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8"/>
                <w:szCs w:val="18"/>
              </w:rPr>
              <w:t xml:space="preserve">Chennai Circuitry (India)</w:t>
            </w:r>
          </w:p>
        </w:tc>
        <w:tc>
          <w:tcPr>
            <w:tcW w:type="dxa" w:w="13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4,582</w:t>
            </w:r>
          </w:p>
        </w:tc>
        <w:tc>
          <w:tcPr>
            <w:tcW w:type="dxa" w:w="14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29,028</w:t>
            </w:r>
          </w:p>
        </w:tc>
        <w:tc>
          <w:tcPr>
            <w:tcW w:type="dxa" w:w="144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33,610</w:t>
            </w:r>
          </w:p>
        </w:tc>
        <w:tc>
          <w:tcPr>
            <w:tcW w:type="dxa" w:w="13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26,196</w:t>
            </w:r>
          </w:p>
        </w:tc>
        <w:tc>
          <w:tcPr>
            <w:tcW w:type="dxa" w:w="14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8"/>
                <w:szCs w:val="18"/>
              </w:rPr>
              <w:t xml:space="preserve">30,778</w:t>
            </w:r>
          </w:p>
        </w:tc>
      </w:tr>
      <w:tr>
        <w:tc>
          <w:tcPr>
            <w:tcW w:type="dxa" w:w="240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8"/>
                <w:szCs w:val="18"/>
              </w:rPr>
              <w:t xml:space="preserve">TOTAL</w:t>
            </w:r>
          </w:p>
        </w:tc>
        <w:tc>
          <w:tcPr>
            <w:tcW w:type="dxa" w:w="136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8"/>
                <w:szCs w:val="18"/>
              </w:rPr>
              <w:t xml:space="preserve">26,198</w:t>
            </w:r>
          </w:p>
        </w:tc>
        <w:tc>
          <w:tcPr>
            <w:tcW w:type="dxa" w:w="140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8"/>
                <w:szCs w:val="18"/>
              </w:rPr>
              <w:t xml:space="preserve">167,465</w:t>
            </w:r>
          </w:p>
        </w:tc>
        <w:tc>
          <w:tcPr>
            <w:tcW w:type="dxa" w:w="144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8"/>
                <w:szCs w:val="18"/>
              </w:rPr>
              <w:t xml:space="preserve">193,663</w:t>
            </w:r>
          </w:p>
        </w:tc>
        <w:tc>
          <w:tcPr>
            <w:tcW w:type="dxa" w:w="136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8"/>
                <w:szCs w:val="18"/>
              </w:rPr>
              <w:t xml:space="preserve">140,676</w:t>
            </w:r>
          </w:p>
        </w:tc>
        <w:tc>
          <w:tcPr>
            <w:tcW w:type="dxa" w:w="140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8"/>
                <w:szCs w:val="18"/>
              </w:rPr>
              <w:t xml:space="preserve">166,874</w:t>
            </w:r>
          </w:p>
        </w:tc>
      </w:tr>
    </w:tbl>
    <w:p>
      <w:pPr>
        <w:spacing w:after="0" w:before="80"/>
      </w:pPr>
      <w:r>
        <w:t xml:space="preserve"/>
      </w:r>
    </w:p>
    <w:p>
      <w:pPr>
        <w:spacing w:after="80" w:before="60"/>
        <w:jc w:val="left"/>
      </w:pPr>
      <w:r>
        <w:rPr>
          <w:rFonts w:ascii="Arial" w:cs="Arial" w:eastAsia="Arial" w:hAnsi="Arial"/>
          <w:b w:val="false"/>
          <w:bCs w:val="false"/>
          <w:i w:val="false"/>
          <w:iCs w:val="false"/>
          <w:caps w:val="false"/>
          <w:color w:val="000000"/>
          <w:sz w:val="21"/>
          <w:szCs w:val="21"/>
        </w:rPr>
        <w:t xml:space="preserve">Scope 2 (LB) is 167,465 tCO2e. Scope 2 (MB) is 140,676 tCO2e. The 26,789 tCO2e difference reflects 49,000 MWh of renewable electricity coverage (16.6% of total consumption) zero-rated under the market-based method. Shenzhen Systems dominates at 54,614 tCO2e (LB) due to volume (94,000 MWh) and China's high grid factor (0.581 tCO2e/MWh). Chennai carries 680 tonnes of stationary diesel — 1,822 tCO2e of avoidable Scope 1 emissions — directly caused by grid instability.</w:t>
      </w:r>
    </w:p>
    <w:p>
      <w:pPr>
        <w:spacing w:after="0" w:before="160"/>
      </w:pPr>
      <w:r>
        <w:t xml:space="preserve"/>
      </w:r>
    </w:p>
    <w:p>
      <w:pPr>
        <w:spacing w:after="120" w:before="400"/>
      </w:pPr>
      <w:r>
        <w:rPr>
          <w:rFonts w:ascii="Georgia" w:cs="Georgia" w:eastAsia="Georgia" w:hAnsi="Georgia"/>
          <w:color w:val="000000"/>
          <w:sz w:val="36"/>
          <w:szCs w:val="36"/>
        </w:rPr>
        <w:t xml:space="preserve">2.2  Scope 3 — Value Chain Emissions by Category</w:t>
      </w:r>
    </w:p>
    <w:p>
      <w:pPr>
        <w:spacing w:after="80" w:before="60"/>
        <w:jc w:val="left"/>
      </w:pPr>
      <w:r>
        <w:rPr>
          <w:rFonts w:ascii="Arial" w:cs="Arial" w:eastAsia="Arial" w:hAnsi="Arial"/>
          <w:b w:val="false"/>
          <w:bCs w:val="false"/>
          <w:i w:val="false"/>
          <w:iCs w:val="false"/>
          <w:caps w:val="false"/>
          <w:color w:val="000000"/>
          <w:sz w:val="21"/>
          <w:szCs w:val="21"/>
        </w:rPr>
        <w:t xml:space="preserve">Source: Scope 3 Detail sheet. Full 15-category GHG Protocol breakdown. Total: 1,401,560 tCO2e. Two categories account for 74.8% of the total.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6"/>
                <w:szCs w:val="16"/>
              </w:rPr>
              <w:t xml:space="preserve">GHG Protocol Category</w:t>
            </w:r>
          </w:p>
        </w:tc>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6"/>
                <w:szCs w:val="16"/>
              </w:rPr>
              <w:t xml:space="preserve">Total (tCO2e)</w:t>
            </w:r>
          </w:p>
        </w:tc>
        <w:tc>
          <w:tcPr>
            <w:tcW w:type="dxa" w:w="35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6"/>
                <w:szCs w:val="16"/>
              </w:rPr>
              <w:t xml:space="preserve">% of Scope 3</w:t>
            </w:r>
          </w:p>
        </w:tc>
      </w:tr>
      <w:tr>
        <w:tc>
          <w:tcPr>
            <w:tcW w:type="dxa" w:w="38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Cat 1 — Purchased Goods &amp; Services</w:t>
            </w:r>
          </w:p>
        </w:tc>
        <w:tc>
          <w:tcPr>
            <w:tcW w:type="dxa" w:w="2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728,500</w:t>
            </w:r>
          </w:p>
        </w:tc>
        <w:tc>
          <w:tcPr>
            <w:tcW w:type="dxa" w:w="35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52.0%</w:t>
            </w:r>
          </w:p>
        </w:tc>
      </w:tr>
      <w:tr>
        <w:tc>
          <w:tcPr>
            <w:tcW w:type="dxa" w:w="38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Cat 2 — Capital Goods</w:t>
            </w:r>
          </w:p>
        </w:tc>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51,200</w:t>
            </w:r>
          </w:p>
        </w:tc>
        <w:tc>
          <w:tcPr>
            <w:tcW w:type="dxa" w:w="35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3.7%</w:t>
            </w:r>
          </w:p>
        </w:tc>
      </w:tr>
      <w:tr>
        <w:tc>
          <w:tcPr>
            <w:tcW w:type="dxa" w:w="38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Cat 3 — Fuel &amp; Energy-Related</w:t>
            </w:r>
          </w:p>
        </w:tc>
        <w:tc>
          <w:tcPr>
            <w:tcW w:type="dxa" w:w="2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27,600</w:t>
            </w:r>
          </w:p>
        </w:tc>
        <w:tc>
          <w:tcPr>
            <w:tcW w:type="dxa" w:w="35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2.0%</w:t>
            </w:r>
          </w:p>
        </w:tc>
      </w:tr>
      <w:tr>
        <w:tc>
          <w:tcPr>
            <w:tcW w:type="dxa" w:w="38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Cat 4 — Upstream Transportation</w:t>
            </w:r>
          </w:p>
        </w:tc>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132,900</w:t>
            </w:r>
          </w:p>
        </w:tc>
        <w:tc>
          <w:tcPr>
            <w:tcW w:type="dxa" w:w="35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9.5%</w:t>
            </w:r>
          </w:p>
        </w:tc>
      </w:tr>
      <w:tr>
        <w:tc>
          <w:tcPr>
            <w:tcW w:type="dxa" w:w="38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Cat 5 — Waste Generated in Ops</w:t>
            </w:r>
          </w:p>
        </w:tc>
        <w:tc>
          <w:tcPr>
            <w:tcW w:type="dxa" w:w="2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7,020</w:t>
            </w:r>
          </w:p>
        </w:tc>
        <w:tc>
          <w:tcPr>
            <w:tcW w:type="dxa" w:w="35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0.5%</w:t>
            </w:r>
          </w:p>
        </w:tc>
      </w:tr>
      <w:tr>
        <w:tc>
          <w:tcPr>
            <w:tcW w:type="dxa" w:w="38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Cat 6 — Business Travel</w:t>
            </w:r>
          </w:p>
        </w:tc>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2,530</w:t>
            </w:r>
          </w:p>
        </w:tc>
        <w:tc>
          <w:tcPr>
            <w:tcW w:type="dxa" w:w="35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0.2%</w:t>
            </w:r>
          </w:p>
        </w:tc>
      </w:tr>
      <w:tr>
        <w:tc>
          <w:tcPr>
            <w:tcW w:type="dxa" w:w="38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Cat 7 — Employee Commuting</w:t>
            </w:r>
          </w:p>
        </w:tc>
        <w:tc>
          <w:tcPr>
            <w:tcW w:type="dxa" w:w="2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20,200</w:t>
            </w:r>
          </w:p>
        </w:tc>
        <w:tc>
          <w:tcPr>
            <w:tcW w:type="dxa" w:w="35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1.4%</w:t>
            </w:r>
          </w:p>
        </w:tc>
      </w:tr>
      <w:tr>
        <w:tc>
          <w:tcPr>
            <w:tcW w:type="dxa" w:w="38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Cat 8 — Upstream Leased Assets</w:t>
            </w:r>
          </w:p>
        </w:tc>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2,800</w:t>
            </w:r>
          </w:p>
        </w:tc>
        <w:tc>
          <w:tcPr>
            <w:tcW w:type="dxa" w:w="35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0.2%</w:t>
            </w:r>
          </w:p>
        </w:tc>
      </w:tr>
      <w:tr>
        <w:tc>
          <w:tcPr>
            <w:tcW w:type="dxa" w:w="38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Cat 9 — Downstream Transport</w:t>
            </w:r>
          </w:p>
        </w:tc>
        <w:tc>
          <w:tcPr>
            <w:tcW w:type="dxa" w:w="2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59,900</w:t>
            </w:r>
          </w:p>
        </w:tc>
        <w:tc>
          <w:tcPr>
            <w:tcW w:type="dxa" w:w="35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4.3%</w:t>
            </w:r>
          </w:p>
        </w:tc>
      </w:tr>
      <w:tr>
        <w:tc>
          <w:tcPr>
            <w:tcW w:type="dxa" w:w="38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Cat 11 — Use of Sold Products</w:t>
            </w:r>
          </w:p>
        </w:tc>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320,000</w:t>
            </w:r>
          </w:p>
        </w:tc>
        <w:tc>
          <w:tcPr>
            <w:tcW w:type="dxa" w:w="35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22.8%</w:t>
            </w:r>
          </w:p>
        </w:tc>
      </w:tr>
      <w:tr>
        <w:tc>
          <w:tcPr>
            <w:tcW w:type="dxa" w:w="38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Cat 12 — End-of-Life Treatment</w:t>
            </w:r>
          </w:p>
        </w:tc>
        <w:tc>
          <w:tcPr>
            <w:tcW w:type="dxa" w:w="2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47,800</w:t>
            </w:r>
          </w:p>
        </w:tc>
        <w:tc>
          <w:tcPr>
            <w:tcW w:type="dxa" w:w="35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3.4%</w:t>
            </w:r>
          </w:p>
        </w:tc>
      </w:tr>
      <w:tr>
        <w:tc>
          <w:tcPr>
            <w:tcW w:type="dxa" w:w="38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Cat 13 — Downstream Leased Assets</w:t>
            </w:r>
          </w:p>
        </w:tc>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1,110</w:t>
            </w:r>
          </w:p>
        </w:tc>
        <w:tc>
          <w:tcPr>
            <w:tcW w:type="dxa" w:w="35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0.1%</w:t>
            </w:r>
          </w:p>
        </w:tc>
      </w:tr>
      <w:tr>
        <w:tc>
          <w:tcPr>
            <w:tcW w:type="dxa" w:w="380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SCOPE 3 TOTAL</w:t>
            </w:r>
          </w:p>
        </w:tc>
        <w:tc>
          <w:tcPr>
            <w:tcW w:type="dxa" w:w="200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1,401,560</w:t>
            </w:r>
          </w:p>
        </w:tc>
        <w:tc>
          <w:tcPr>
            <w:tcW w:type="dxa" w:w="356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100%</w:t>
            </w:r>
          </w:p>
        </w:tc>
      </w:tr>
    </w:tbl>
    <w:p>
      <w:pPr>
        <w:spacing w:after="0" w:before="80"/>
      </w:pPr>
      <w:r>
        <w:t xml:space="preserve"/>
      </w:r>
    </w:p>
    <w:p>
      <w:pPr>
        <w:spacing w:after="80" w:before="60"/>
        <w:jc w:val="left"/>
      </w:pPr>
      <w:r>
        <w:rPr>
          <w:rFonts w:ascii="Arial" w:cs="Arial" w:eastAsia="Arial" w:hAnsi="Arial"/>
          <w:b w:val="false"/>
          <w:bCs w:val="false"/>
          <w:i w:val="false"/>
          <w:iCs w:val="false"/>
          <w:caps w:val="false"/>
          <w:color w:val="000000"/>
          <w:sz w:val="21"/>
          <w:szCs w:val="21"/>
        </w:rPr>
        <w:t xml:space="preserve">Cat 1 (Purchased Goods, 728,500 tCO2e) reflects the emissions intensity of aluminium, polymers, and processed metal inputs. Cat 11 (Use of Sold Products, 320,000 tCO2e) reflects in-use electricity consumption of chargers and battery packs across their operational lifetime — a downstream category that requires product design intervention, which falls outside the current lever portfolio and requires a dedicated R&amp;D workstream.</w:t>
      </w:r>
    </w:p>
    <w:p>
      <w:pPr>
        <w:spacing w:after="0" w:before="120"/>
      </w:pPr>
      <w:r>
        <w:t xml:space="preserve"/>
      </w:r>
    </w:p>
    <w:p>
      <w:pPr>
        <w:spacing w:after="80" w:before="280"/>
      </w:pPr>
      <w:r>
        <w:rPr>
          <w:rFonts w:ascii="Arial" w:cs="Arial" w:eastAsia="Arial" w:hAnsi="Arial"/>
          <w:b/>
          <w:bCs/>
          <w:caps/>
          <w:color w:val="000000"/>
          <w:sz w:val="22"/>
          <w:szCs w:val="22"/>
        </w:rPr>
        <w:t xml:space="preserve">Scope 3 by Facility</w:t>
      </w:r>
    </w:p>
    <w:p>
      <w:pPr>
        <w:spacing w:after="80" w:before="60"/>
        <w:jc w:val="left"/>
      </w:pPr>
      <w:r>
        <w:rPr>
          <w:rFonts w:ascii="Arial" w:cs="Arial" w:eastAsia="Arial" w:hAnsi="Arial"/>
          <w:b w:val="false"/>
          <w:bCs w:val="false"/>
          <w:i w:val="false"/>
          <w:iCs w:val="false"/>
          <w:caps w:val="false"/>
          <w:color w:val="000000"/>
          <w:sz w:val="21"/>
          <w:szCs w:val="21"/>
        </w:rPr>
        <w:t xml:space="preserve">Disaggregation of the 5 highest-volume categories by facility, with all remaining categories combined.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rPr>
          <w:tblHeader/>
        </w:trPr>
        <w:tc>
          <w:tcPr>
            <w:tcW w:type="dxa" w:w="2200"/>
            <w:tcBorders>
              <w:top w:val="single" w:color="B6B09F" w:sz="1"/>
              <w:left w:val="single" w:color="B6B09F" w:sz="1"/>
              <w:bottom w:val="single" w:color="B6B09F" w:sz="1"/>
              <w:right w:val="single" w:color="B6B09F" w:sz="1"/>
            </w:tcBorders>
            <w:shd w:fill="00000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4"/>
                <w:szCs w:val="14"/>
              </w:rPr>
              <w:t xml:space="preserve">Category</w:t>
            </w:r>
          </w:p>
        </w:tc>
        <w:tc>
          <w:tcPr>
            <w:tcW w:type="dxa" w:w="1432"/>
            <w:tcBorders>
              <w:top w:val="single" w:color="B6B09F" w:sz="1"/>
              <w:left w:val="single" w:color="B6B09F" w:sz="1"/>
              <w:bottom w:val="single" w:color="B6B09F" w:sz="1"/>
              <w:right w:val="single" w:color="B6B09F" w:sz="1"/>
            </w:tcBorders>
            <w:shd w:fill="00000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4"/>
                <w:szCs w:val="14"/>
              </w:rPr>
              <w:t xml:space="preserve">Hanoi</w:t>
            </w:r>
          </w:p>
        </w:tc>
        <w:tc>
          <w:tcPr>
            <w:tcW w:type="dxa" w:w="1432"/>
            <w:tcBorders>
              <w:top w:val="single" w:color="B6B09F" w:sz="1"/>
              <w:left w:val="single" w:color="B6B09F" w:sz="1"/>
              <w:bottom w:val="single" w:color="B6B09F" w:sz="1"/>
              <w:right w:val="single" w:color="B6B09F" w:sz="1"/>
            </w:tcBorders>
            <w:shd w:fill="00000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4"/>
                <w:szCs w:val="14"/>
              </w:rPr>
              <w:t xml:space="preserve">Guadalajara</w:t>
            </w:r>
          </w:p>
        </w:tc>
        <w:tc>
          <w:tcPr>
            <w:tcW w:type="dxa" w:w="1432"/>
            <w:tcBorders>
              <w:top w:val="single" w:color="B6B09F" w:sz="1"/>
              <w:left w:val="single" w:color="B6B09F" w:sz="1"/>
              <w:bottom w:val="single" w:color="B6B09F" w:sz="1"/>
              <w:right w:val="single" w:color="B6B09F" w:sz="1"/>
            </w:tcBorders>
            <w:shd w:fill="00000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4"/>
                <w:szCs w:val="14"/>
              </w:rPr>
              <w:t xml:space="preserve">Shenzhen</w:t>
            </w:r>
          </w:p>
        </w:tc>
        <w:tc>
          <w:tcPr>
            <w:tcW w:type="dxa" w:w="1432"/>
            <w:tcBorders>
              <w:top w:val="single" w:color="B6B09F" w:sz="1"/>
              <w:left w:val="single" w:color="B6B09F" w:sz="1"/>
              <w:bottom w:val="single" w:color="B6B09F" w:sz="1"/>
              <w:right w:val="single" w:color="B6B09F" w:sz="1"/>
            </w:tcBorders>
            <w:shd w:fill="00000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4"/>
                <w:szCs w:val="14"/>
              </w:rPr>
              <w:t xml:space="preserve">Wroclaw</w:t>
            </w:r>
          </w:p>
        </w:tc>
        <w:tc>
          <w:tcPr>
            <w:tcW w:type="dxa" w:w="1432"/>
            <w:tcBorders>
              <w:top w:val="single" w:color="B6B09F" w:sz="1"/>
              <w:left w:val="single" w:color="B6B09F" w:sz="1"/>
              <w:bottom w:val="single" w:color="B6B09F" w:sz="1"/>
              <w:right w:val="single" w:color="B6B09F" w:sz="1"/>
            </w:tcBorders>
            <w:shd w:fill="00000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4"/>
                <w:szCs w:val="14"/>
              </w:rPr>
              <w:t xml:space="preserve">Chennai</w:t>
            </w:r>
          </w:p>
        </w:tc>
      </w:tr>
      <w:tr>
        <w:tc>
          <w:tcPr>
            <w:tcW w:type="dxa" w:w="22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Cat 1: Purchased Goods</w:t>
            </w:r>
          </w:p>
        </w:tc>
        <w:tc>
          <w:tcPr>
            <w:tcW w:type="dxa" w:w="1432"/>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128,400</w:t>
            </w:r>
          </w:p>
        </w:tc>
        <w:tc>
          <w:tcPr>
            <w:tcW w:type="dxa" w:w="1432"/>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89,200</w:t>
            </w:r>
          </w:p>
        </w:tc>
        <w:tc>
          <w:tcPr>
            <w:tcW w:type="dxa" w:w="1432"/>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312,000</w:t>
            </w:r>
          </w:p>
        </w:tc>
        <w:tc>
          <w:tcPr>
            <w:tcW w:type="dxa" w:w="1432"/>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42,100</w:t>
            </w:r>
          </w:p>
        </w:tc>
        <w:tc>
          <w:tcPr>
            <w:tcW w:type="dxa" w:w="1432"/>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156,800</w:t>
            </w:r>
          </w:p>
        </w:tc>
      </w:tr>
      <w:tr>
        <w:tc>
          <w:tcPr>
            <w:tcW w:type="dxa" w:w="22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Cat 4: Upstream Transport</w:t>
            </w:r>
          </w:p>
        </w:tc>
        <w:tc>
          <w:tcPr>
            <w:tcW w:type="dxa" w:w="1432"/>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22,100</w:t>
            </w:r>
          </w:p>
        </w:tc>
        <w:tc>
          <w:tcPr>
            <w:tcW w:type="dxa" w:w="1432"/>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18,600</w:t>
            </w:r>
          </w:p>
        </w:tc>
        <w:tc>
          <w:tcPr>
            <w:tcW w:type="dxa" w:w="1432"/>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48,200</w:t>
            </w:r>
          </w:p>
        </w:tc>
        <w:tc>
          <w:tcPr>
            <w:tcW w:type="dxa" w:w="1432"/>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12,400</w:t>
            </w:r>
          </w:p>
        </w:tc>
        <w:tc>
          <w:tcPr>
            <w:tcW w:type="dxa" w:w="1432"/>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31,600</w:t>
            </w:r>
          </w:p>
        </w:tc>
      </w:tr>
      <w:tr>
        <w:tc>
          <w:tcPr>
            <w:tcW w:type="dxa" w:w="22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Cat 11: Use of Products</w:t>
            </w:r>
          </w:p>
        </w:tc>
        <w:tc>
          <w:tcPr>
            <w:tcW w:type="dxa" w:w="1432"/>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42,000</w:t>
            </w:r>
          </w:p>
        </w:tc>
        <w:tc>
          <w:tcPr>
            <w:tcW w:type="dxa" w:w="1432"/>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68,000</w:t>
            </w:r>
          </w:p>
        </w:tc>
        <w:tc>
          <w:tcPr>
            <w:tcW w:type="dxa" w:w="1432"/>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110,000</w:t>
            </w:r>
          </w:p>
        </w:tc>
        <w:tc>
          <w:tcPr>
            <w:tcW w:type="dxa" w:w="1432"/>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12,000</w:t>
            </w:r>
          </w:p>
        </w:tc>
        <w:tc>
          <w:tcPr>
            <w:tcW w:type="dxa" w:w="1432"/>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88,000</w:t>
            </w:r>
          </w:p>
        </w:tc>
      </w:tr>
      <w:tr>
        <w:tc>
          <w:tcPr>
            <w:tcW w:type="dxa" w:w="22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Cat 12: End-of-Life</w:t>
            </w:r>
          </w:p>
        </w:tc>
        <w:tc>
          <w:tcPr>
            <w:tcW w:type="dxa" w:w="1432"/>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6,400</w:t>
            </w:r>
          </w:p>
        </w:tc>
        <w:tc>
          <w:tcPr>
            <w:tcW w:type="dxa" w:w="1432"/>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8,200</w:t>
            </w:r>
          </w:p>
        </w:tc>
        <w:tc>
          <w:tcPr>
            <w:tcW w:type="dxa" w:w="1432"/>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18,400</w:t>
            </w:r>
          </w:p>
        </w:tc>
        <w:tc>
          <w:tcPr>
            <w:tcW w:type="dxa" w:w="1432"/>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2,200</w:t>
            </w:r>
          </w:p>
        </w:tc>
        <w:tc>
          <w:tcPr>
            <w:tcW w:type="dxa" w:w="1432"/>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12,600</w:t>
            </w:r>
          </w:p>
        </w:tc>
      </w:tr>
      <w:tr>
        <w:tc>
          <w:tcPr>
            <w:tcW w:type="dxa" w:w="22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Cat 9: Downst. Transport</w:t>
            </w:r>
          </w:p>
        </w:tc>
        <w:tc>
          <w:tcPr>
            <w:tcW w:type="dxa" w:w="1432"/>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9,800</w:t>
            </w:r>
          </w:p>
        </w:tc>
        <w:tc>
          <w:tcPr>
            <w:tcW w:type="dxa" w:w="1432"/>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7,200</w:t>
            </w:r>
          </w:p>
        </w:tc>
        <w:tc>
          <w:tcPr>
            <w:tcW w:type="dxa" w:w="1432"/>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24,600</w:t>
            </w:r>
          </w:p>
        </w:tc>
        <w:tc>
          <w:tcPr>
            <w:tcW w:type="dxa" w:w="1432"/>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4,100</w:t>
            </w:r>
          </w:p>
        </w:tc>
        <w:tc>
          <w:tcPr>
            <w:tcW w:type="dxa" w:w="1432"/>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14,200</w:t>
            </w:r>
          </w:p>
        </w:tc>
      </w:tr>
      <w:tr>
        <w:tc>
          <w:tcPr>
            <w:tcW w:type="dxa" w:w="22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All other categories</w:t>
            </w:r>
          </w:p>
        </w:tc>
        <w:tc>
          <w:tcPr>
            <w:tcW w:type="dxa" w:w="1432"/>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17,920</w:t>
            </w:r>
          </w:p>
        </w:tc>
        <w:tc>
          <w:tcPr>
            <w:tcW w:type="dxa" w:w="1432"/>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21,710</w:t>
            </w:r>
          </w:p>
        </w:tc>
        <w:tc>
          <w:tcPr>
            <w:tcW w:type="dxa" w:w="1432"/>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36,780</w:t>
            </w:r>
          </w:p>
        </w:tc>
        <w:tc>
          <w:tcPr>
            <w:tcW w:type="dxa" w:w="1432"/>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16,430</w:t>
            </w:r>
          </w:p>
        </w:tc>
        <w:tc>
          <w:tcPr>
            <w:tcW w:type="dxa" w:w="1432"/>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19,620</w:t>
            </w:r>
          </w:p>
        </w:tc>
      </w:tr>
      <w:tr>
        <w:tc>
          <w:tcPr>
            <w:tcW w:type="dxa" w:w="220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7"/>
                <w:szCs w:val="17"/>
              </w:rPr>
              <w:t xml:space="preserve">TOTAL S3</w:t>
            </w:r>
          </w:p>
        </w:tc>
        <w:tc>
          <w:tcPr>
            <w:tcW w:type="dxa" w:w="1432"/>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7"/>
                <w:szCs w:val="17"/>
              </w:rPr>
              <w:t xml:space="preserve">226,620</w:t>
            </w:r>
          </w:p>
        </w:tc>
        <w:tc>
          <w:tcPr>
            <w:tcW w:type="dxa" w:w="1432"/>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7"/>
                <w:szCs w:val="17"/>
              </w:rPr>
              <w:t xml:space="preserve">212,910</w:t>
            </w:r>
          </w:p>
        </w:tc>
        <w:tc>
          <w:tcPr>
            <w:tcW w:type="dxa" w:w="1432"/>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7"/>
                <w:szCs w:val="17"/>
              </w:rPr>
              <w:t xml:space="preserve">549,980</w:t>
            </w:r>
          </w:p>
        </w:tc>
        <w:tc>
          <w:tcPr>
            <w:tcW w:type="dxa" w:w="1432"/>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7"/>
                <w:szCs w:val="17"/>
              </w:rPr>
              <w:t xml:space="preserve">89,230</w:t>
            </w:r>
          </w:p>
        </w:tc>
        <w:tc>
          <w:tcPr>
            <w:tcW w:type="dxa" w:w="1432"/>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7"/>
                <w:szCs w:val="17"/>
              </w:rPr>
              <w:t xml:space="preserve">322,820</w:t>
            </w:r>
          </w:p>
        </w:tc>
      </w:tr>
    </w:tbl>
    <w:p>
      <w:pPr>
        <w:spacing w:after="0" w:before="80"/>
      </w:pPr>
      <w:r>
        <w:t xml:space="preserve"/>
      </w:r>
    </w:p>
    <w:p>
      <w:pPr>
        <w:spacing w:after="80" w:before="60"/>
        <w:jc w:val="left"/>
      </w:pPr>
      <w:r>
        <w:rPr>
          <w:rFonts w:ascii="Arial" w:cs="Arial" w:eastAsia="Arial" w:hAnsi="Arial"/>
          <w:b w:val="false"/>
          <w:bCs w:val="false"/>
          <w:i w:val="false"/>
          <w:iCs w:val="false"/>
          <w:caps w:val="false"/>
          <w:color w:val="000000"/>
          <w:sz w:val="21"/>
          <w:szCs w:val="21"/>
        </w:rPr>
        <w:t xml:space="preserve">Shenzhen Systems is the dominant Scope 3 source at 549,980 tCO2e (39.2% of total). Chennai Circuitry ranks second at 322,820 tCO2e. These two facilities are the primary targets for supplier engagement and material circularity programmes.</w:t>
      </w:r>
    </w:p>
    <w:p>
      <w:pPr>
        <w:spacing w:after="0" w:before="160"/>
      </w:pPr>
      <w:r>
        <w:t xml:space="preserve"/>
      </w:r>
    </w:p>
    <w:p>
      <w:pPr>
        <w:spacing w:after="120" w:before="400"/>
      </w:pPr>
      <w:r>
        <w:rPr>
          <w:rFonts w:ascii="Georgia" w:cs="Georgia" w:eastAsia="Georgia" w:hAnsi="Georgia"/>
          <w:color w:val="000000"/>
          <w:sz w:val="36"/>
          <w:szCs w:val="36"/>
        </w:rPr>
        <w:t xml:space="preserve">2.3  Combined Baseline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40" w:before="0"/>
              <w:jc w:val="left"/>
            </w:pPr>
            <w:r>
              <w:rPr>
                <w:rFonts w:ascii="Arial" w:cs="Arial" w:eastAsia="Arial" w:hAnsi="Arial"/>
                <w:b w:val="false"/>
                <w:bCs w:val="false"/>
                <w:i w:val="false"/>
                <w:iCs w:val="false"/>
                <w:caps/>
                <w:color w:val="B6B09F"/>
                <w:sz w:val="17"/>
                <w:szCs w:val="17"/>
              </w:rPr>
              <w:t xml:space="preserve">Total Scope 1</w:t>
            </w:r>
          </w:p>
          <w:p>
            <w:pPr>
              <w:spacing w:after="40" w:before="40"/>
              <w:jc w:val="left"/>
            </w:pPr>
            <w:r>
              <w:rPr>
                <w:rFonts w:ascii="Georgia" w:cs="Georgia" w:eastAsia="Georgia" w:hAnsi="Georgia"/>
                <w:b/>
                <w:bCs/>
                <w:i w:val="false"/>
                <w:iCs w:val="false"/>
                <w:caps w:val="false"/>
                <w:color w:val="000000"/>
                <w:sz w:val="28"/>
                <w:szCs w:val="28"/>
              </w:rPr>
              <w:t xml:space="preserve">26,198 tCO2e</w:t>
            </w:r>
          </w:p>
        </w:tc>
        <w:tc>
          <w:tcPr>
            <w:tcW w:type="dxa" w:w="234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40" w:before="0"/>
              <w:jc w:val="left"/>
            </w:pPr>
            <w:r>
              <w:rPr>
                <w:rFonts w:ascii="Arial" w:cs="Arial" w:eastAsia="Arial" w:hAnsi="Arial"/>
                <w:b w:val="false"/>
                <w:bCs w:val="false"/>
                <w:i w:val="false"/>
                <w:iCs w:val="false"/>
                <w:caps/>
                <w:color w:val="B6B09F"/>
                <w:sz w:val="17"/>
                <w:szCs w:val="17"/>
              </w:rPr>
              <w:t xml:space="preserve">Total Scope 2 (LB)</w:t>
            </w:r>
          </w:p>
          <w:p>
            <w:pPr>
              <w:spacing w:after="40" w:before="40"/>
              <w:jc w:val="left"/>
            </w:pPr>
            <w:r>
              <w:rPr>
                <w:rFonts w:ascii="Georgia" w:cs="Georgia" w:eastAsia="Georgia" w:hAnsi="Georgia"/>
                <w:b/>
                <w:bCs/>
                <w:i w:val="false"/>
                <w:iCs w:val="false"/>
                <w:caps w:val="false"/>
                <w:color w:val="000000"/>
                <w:sz w:val="28"/>
                <w:szCs w:val="28"/>
              </w:rPr>
              <w:t xml:space="preserve">167,465 tCO2e</w:t>
            </w:r>
          </w:p>
        </w:tc>
        <w:tc>
          <w:tcPr>
            <w:tcW w:type="dxa" w:w="234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40" w:before="0"/>
              <w:jc w:val="left"/>
            </w:pPr>
            <w:r>
              <w:rPr>
                <w:rFonts w:ascii="Arial" w:cs="Arial" w:eastAsia="Arial" w:hAnsi="Arial"/>
                <w:b w:val="false"/>
                <w:bCs w:val="false"/>
                <w:i w:val="false"/>
                <w:iCs w:val="false"/>
                <w:caps/>
                <w:color w:val="B6B09F"/>
                <w:sz w:val="17"/>
                <w:szCs w:val="17"/>
              </w:rPr>
              <w:t xml:space="preserve">Total Scope 2 (MB)</w:t>
            </w:r>
          </w:p>
          <w:p>
            <w:pPr>
              <w:spacing w:after="40" w:before="40"/>
              <w:jc w:val="left"/>
            </w:pPr>
            <w:r>
              <w:rPr>
                <w:rFonts w:ascii="Georgia" w:cs="Georgia" w:eastAsia="Georgia" w:hAnsi="Georgia"/>
                <w:b/>
                <w:bCs/>
                <w:i w:val="false"/>
                <w:iCs w:val="false"/>
                <w:caps w:val="false"/>
                <w:color w:val="000000"/>
                <w:sz w:val="28"/>
                <w:szCs w:val="28"/>
              </w:rPr>
              <w:t xml:space="preserve">140,676 tCO2e</w:t>
            </w:r>
          </w:p>
        </w:tc>
        <w:tc>
          <w:tcPr>
            <w:tcW w:type="dxa" w:w="234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40" w:before="0"/>
              <w:jc w:val="left"/>
            </w:pPr>
            <w:r>
              <w:rPr>
                <w:rFonts w:ascii="Arial" w:cs="Arial" w:eastAsia="Arial" w:hAnsi="Arial"/>
                <w:b w:val="false"/>
                <w:bCs w:val="false"/>
                <w:i w:val="false"/>
                <w:iCs w:val="false"/>
                <w:caps/>
                <w:color w:val="B6B09F"/>
                <w:sz w:val="17"/>
                <w:szCs w:val="17"/>
              </w:rPr>
              <w:t xml:space="preserve">Total Scope 3</w:t>
            </w:r>
          </w:p>
          <w:p>
            <w:pPr>
              <w:spacing w:after="40" w:before="40"/>
              <w:jc w:val="left"/>
            </w:pPr>
            <w:r>
              <w:rPr>
                <w:rFonts w:ascii="Georgia" w:cs="Georgia" w:eastAsia="Georgia" w:hAnsi="Georgia"/>
                <w:b/>
                <w:bCs/>
                <w:i w:val="false"/>
                <w:iCs w:val="false"/>
                <w:caps w:val="false"/>
                <w:color w:val="000000"/>
                <w:sz w:val="28"/>
                <w:szCs w:val="28"/>
              </w:rPr>
              <w:t xml:space="preserve">1,401,560 tCO2e</w:t>
            </w:r>
          </w:p>
        </w:tc>
      </w:tr>
      <w:tr>
        <w:tc>
          <w:tcPr>
            <w:tcW w:type="dxa" w:w="4680"/>
            <w:tcBorders>
              <w:top w:val="single" w:color="B6B09F" w:sz="1"/>
              <w:left w:val="single" w:color="B6B09F" w:sz="1"/>
              <w:bottom w:val="single" w:color="B6B09F" w:sz="1"/>
              <w:right w:val="single" w:color="B6B09F" w:sz="1"/>
            </w:tcBorders>
            <w:shd w:fill="000000" w:val="clear"/>
            <w:tcMar>
              <w:top w:type="dxa" w:w="100"/>
              <w:left w:type="dxa" w:w="140"/>
              <w:bottom w:type="dxa" w:w="100"/>
              <w:right w:type="dxa" w:w="140"/>
            </w:tcMar>
            <w:vAlign w:val="center"/>
          </w:tcPr>
          <w:p>
            <w:pPr>
              <w:spacing w:after="40" w:before="0"/>
            </w:pPr>
            <w:r>
              <w:rPr>
                <w:rFonts w:ascii="Arial" w:cs="Arial" w:eastAsia="Arial" w:hAnsi="Arial"/>
                <w:caps/>
                <w:color w:val="B6B09F"/>
                <w:sz w:val="16"/>
                <w:szCs w:val="16"/>
              </w:rPr>
              <w:t xml:space="preserve">All Scopes — Location-Based</w:t>
            </w:r>
          </w:p>
          <w:p>
            <w:pPr>
              <w:spacing w:after="0" w:before="0"/>
            </w:pPr>
            <w:r>
              <w:rPr>
                <w:rFonts w:ascii="Georgia" w:cs="Georgia" w:eastAsia="Georgia" w:hAnsi="Georgia"/>
                <w:b/>
                <w:bCs/>
                <w:color w:val="FFFFFF"/>
                <w:sz w:val="30"/>
                <w:szCs w:val="30"/>
              </w:rPr>
              <w:t xml:space="preserve">1,595,223 tCO2e</w:t>
            </w:r>
          </w:p>
        </w:tc>
        <w:tc>
          <w:tcPr>
            <w:tcW w:type="dxa" w:w="4680"/>
            <w:tcBorders>
              <w:top w:val="single" w:color="B6B09F" w:sz="1"/>
              <w:left w:val="single" w:color="B6B09F" w:sz="1"/>
              <w:bottom w:val="single" w:color="B6B09F" w:sz="1"/>
              <w:right w:val="single" w:color="B6B09F" w:sz="1"/>
            </w:tcBorders>
            <w:shd w:fill="000000" w:val="clear"/>
            <w:tcMar>
              <w:top w:type="dxa" w:w="100"/>
              <w:left w:type="dxa" w:w="140"/>
              <w:bottom w:type="dxa" w:w="100"/>
              <w:right w:type="dxa" w:w="140"/>
            </w:tcMar>
            <w:vAlign w:val="center"/>
          </w:tcPr>
          <w:p>
            <w:pPr>
              <w:spacing w:after="40" w:before="0"/>
            </w:pPr>
            <w:r>
              <w:rPr>
                <w:rFonts w:ascii="Arial" w:cs="Arial" w:eastAsia="Arial" w:hAnsi="Arial"/>
                <w:caps/>
                <w:color w:val="B6B09F"/>
                <w:sz w:val="16"/>
                <w:szCs w:val="16"/>
              </w:rPr>
              <w:t xml:space="preserve">All Scopes — Market-Based</w:t>
            </w:r>
          </w:p>
          <w:p>
            <w:pPr>
              <w:spacing w:after="0" w:before="0"/>
            </w:pPr>
            <w:r>
              <w:rPr>
                <w:rFonts w:ascii="Georgia" w:cs="Georgia" w:eastAsia="Georgia" w:hAnsi="Georgia"/>
                <w:b/>
                <w:bCs/>
                <w:color w:val="FFFFFF"/>
                <w:sz w:val="30"/>
                <w:szCs w:val="30"/>
              </w:rPr>
              <w:t xml:space="preserve">1,568,434 tCO2e</w:t>
            </w:r>
          </w:p>
        </w:tc>
      </w:tr>
    </w:tbl>
    <w:p>
      <w:pPr>
        <w:spacing w:after="0" w:before="80"/>
      </w:pPr>
      <w:r>
        <w:t xml:space="preserve"/>
      </w:r>
    </w:p>
    <w:p>
      <w:pPr>
        <w:spacing w:after="80" w:before="60"/>
        <w:jc w:val="left"/>
      </w:pPr>
      <w:r>
        <w:rPr>
          <w:rFonts w:ascii="Arial" w:cs="Arial" w:eastAsia="Arial" w:hAnsi="Arial"/>
          <w:b w:val="false"/>
          <w:bCs w:val="false"/>
          <w:i w:val="false"/>
          <w:iCs w:val="false"/>
          <w:caps w:val="false"/>
          <w:color w:val="000000"/>
          <w:sz w:val="21"/>
          <w:szCs w:val="21"/>
        </w:rPr>
        <w:t xml:space="preserve">The primary reporting baseline for all target calculations is the market-based total of 1,568,434 tCO2e. This is the figure against which the SBTi 50% reduction by 2030 is measured.</w:t>
      </w:r>
    </w:p>
    <w:p>
      <w:pPr>
        <w:spacing w:after="0" w:before="200"/>
      </w:pPr>
      <w:r>
        <w:t xml:space="preserve"/>
      </w:r>
    </w:p>
    <w:p>
      <w:pPr>
        <w:pBdr>
          <w:bottom w:val="single" w:color="000000" w:sz="8"/>
        </w:pBdr>
        <w:spacing w:after="160" w:before="480"/>
      </w:pPr>
      <w:r>
        <w:rPr>
          <w:rFonts w:ascii="Georgia" w:cs="Georgia" w:eastAsia="Georgia" w:hAnsi="Georgia"/>
          <w:b/>
          <w:bCs/>
          <w:color w:val="000000"/>
          <w:sz w:val="48"/>
          <w:szCs w:val="48"/>
        </w:rPr>
        <w:t xml:space="preserve">3. Carbon Debt Engine</w:t>
      </w:r>
    </w:p>
    <w:p>
      <w:pPr>
        <w:spacing w:after="80" w:before="60"/>
        <w:jc w:val="left"/>
      </w:pPr>
      <w:r>
        <w:rPr>
          <w:rFonts w:ascii="Arial" w:cs="Arial" w:eastAsia="Arial" w:hAnsi="Arial"/>
          <w:b w:val="false"/>
          <w:bCs w:val="false"/>
          <w:i w:val="false"/>
          <w:iCs w:val="false"/>
          <w:caps w:val="false"/>
          <w:color w:val="000000"/>
          <w:sz w:val="21"/>
          <w:szCs w:val="21"/>
        </w:rPr>
        <w:t xml:space="preserve">Net-Zero requires abating the 2023 footprint plus all emissions generated by business growth to 2045. At 5% annual growth over 22 years, the gross carbon debt is 4,588,079 tCO2e — approximately 2.9 times the 2023 baseline.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40" w:before="0"/>
              <w:jc w:val="left"/>
            </w:pPr>
            <w:r>
              <w:rPr>
                <w:rFonts w:ascii="Arial" w:cs="Arial" w:eastAsia="Arial" w:hAnsi="Arial"/>
                <w:b w:val="false"/>
                <w:bCs w:val="false"/>
                <w:i w:val="false"/>
                <w:iCs w:val="false"/>
                <w:caps/>
                <w:color w:val="B6B09F"/>
                <w:sz w:val="17"/>
                <w:szCs w:val="17"/>
              </w:rPr>
              <w:t xml:space="preserve">2023 Baseline (Market-Based)</w:t>
            </w:r>
          </w:p>
          <w:p>
            <w:pPr>
              <w:spacing w:after="40" w:before="40"/>
              <w:jc w:val="left"/>
            </w:pPr>
            <w:r>
              <w:rPr>
                <w:rFonts w:ascii="Georgia" w:cs="Georgia" w:eastAsia="Georgia" w:hAnsi="Georgia"/>
                <w:b/>
                <w:bCs/>
                <w:i w:val="false"/>
                <w:iCs w:val="false"/>
                <w:caps w:val="false"/>
                <w:color w:val="000000"/>
                <w:sz w:val="28"/>
                <w:szCs w:val="28"/>
              </w:rPr>
              <w:t xml:space="preserve">1,568,434 tCO2e</w:t>
            </w:r>
          </w:p>
        </w:tc>
        <w:tc>
          <w:tcPr>
            <w:tcW w:type="dxa" w:w="468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40" w:before="0"/>
              <w:jc w:val="left"/>
            </w:pPr>
            <w:r>
              <w:rPr>
                <w:rFonts w:ascii="Arial" w:cs="Arial" w:eastAsia="Arial" w:hAnsi="Arial"/>
                <w:b w:val="false"/>
                <w:bCs w:val="false"/>
                <w:i w:val="false"/>
                <w:iCs w:val="false"/>
                <w:caps/>
                <w:color w:val="B6B09F"/>
                <w:sz w:val="17"/>
                <w:szCs w:val="17"/>
              </w:rPr>
              <w:t xml:space="preserve">Growth Delta (5% x 22 yr)</w:t>
            </w:r>
          </w:p>
          <w:p>
            <w:pPr>
              <w:spacing w:after="40" w:before="40"/>
              <w:jc w:val="left"/>
            </w:pPr>
            <w:r>
              <w:rPr>
                <w:rFonts w:ascii="Georgia" w:cs="Georgia" w:eastAsia="Georgia" w:hAnsi="Georgia"/>
                <w:b/>
                <w:bCs/>
                <w:i w:val="false"/>
                <w:iCs w:val="false"/>
                <w:caps w:val="false"/>
                <w:color w:val="000000"/>
                <w:sz w:val="28"/>
                <w:szCs w:val="28"/>
              </w:rPr>
              <w:t xml:space="preserve">3,019,645 tCO2e</w:t>
            </w:r>
          </w:p>
        </w:tc>
      </w:tr>
      <w:tr>
        <w:tc>
          <w:tcPr>
            <w:tcW w:type="dxa" w:w="468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40" w:before="0"/>
              <w:jc w:val="left"/>
            </w:pPr>
            <w:r>
              <w:rPr>
                <w:rFonts w:ascii="Arial" w:cs="Arial" w:eastAsia="Arial" w:hAnsi="Arial"/>
                <w:b w:val="false"/>
                <w:bCs w:val="false"/>
                <w:i w:val="false"/>
                <w:iCs w:val="false"/>
                <w:caps/>
                <w:color w:val="B6B09F"/>
                <w:sz w:val="17"/>
                <w:szCs w:val="17"/>
              </w:rPr>
              <w:t xml:space="preserve">Gross Carbon Debt to 2045</w:t>
            </w:r>
          </w:p>
          <w:p>
            <w:pPr>
              <w:spacing w:after="40" w:before="40"/>
              <w:jc w:val="left"/>
            </w:pPr>
            <w:r>
              <w:rPr>
                <w:rFonts w:ascii="Georgia" w:cs="Georgia" w:eastAsia="Georgia" w:hAnsi="Georgia"/>
                <w:b/>
                <w:bCs/>
                <w:i w:val="false"/>
                <w:iCs w:val="false"/>
                <w:caps w:val="false"/>
                <w:color w:val="000000"/>
                <w:sz w:val="28"/>
                <w:szCs w:val="28"/>
              </w:rPr>
              <w:t xml:space="preserve">4,588,079 tCO2e</w:t>
            </w:r>
          </w:p>
        </w:tc>
        <w:tc>
          <w:tcPr>
            <w:tcW w:type="dxa" w:w="468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40" w:before="0"/>
              <w:jc w:val="left"/>
            </w:pPr>
            <w:r>
              <w:rPr>
                <w:rFonts w:ascii="Arial" w:cs="Arial" w:eastAsia="Arial" w:hAnsi="Arial"/>
                <w:b w:val="false"/>
                <w:bCs w:val="false"/>
                <w:i w:val="false"/>
                <w:iCs w:val="false"/>
                <w:caps/>
                <w:color w:val="B6B09F"/>
                <w:sz w:val="17"/>
                <w:szCs w:val="17"/>
              </w:rPr>
              <w:t xml:space="preserve">SBTi Removals Cap (10%)</w:t>
            </w:r>
          </w:p>
          <w:p>
            <w:pPr>
              <w:spacing w:after="40" w:before="40"/>
              <w:jc w:val="left"/>
            </w:pPr>
            <w:r>
              <w:rPr>
                <w:rFonts w:ascii="Georgia" w:cs="Georgia" w:eastAsia="Georgia" w:hAnsi="Georgia"/>
                <w:b/>
                <w:bCs/>
                <w:i w:val="false"/>
                <w:iCs w:val="false"/>
                <w:caps w:val="false"/>
                <w:color w:val="000000"/>
                <w:sz w:val="28"/>
                <w:szCs w:val="28"/>
              </w:rPr>
              <w:t xml:space="preserve">458,808 tCO2e</w:t>
            </w:r>
          </w:p>
        </w:tc>
      </w:tr>
    </w:tbl>
    <w:p>
      <w:pPr>
        <w:spacing w:after="0" w:before="120"/>
      </w:pPr>
      <w:r>
        <w:t xml:space="preserve"/>
      </w:r>
    </w:p>
    <w:p>
      <w:pPr>
        <w:spacing w:after="80" w:before="60"/>
        <w:jc w:val="left"/>
      </w:pPr>
      <w:r>
        <w:rPr>
          <w:rFonts w:ascii="Arial" w:cs="Arial" w:eastAsia="Arial" w:hAnsi="Arial"/>
          <w:b w:val="false"/>
          <w:bCs w:val="false"/>
          <w:i w:val="false"/>
          <w:iCs w:val="false"/>
          <w:caps w:val="false"/>
          <w:color w:val="000000"/>
          <w:sz w:val="21"/>
          <w:szCs w:val="21"/>
        </w:rPr>
        <w:t xml:space="preserve">Formula: Total Debt = Baseline + (Baseline x ((1 + r) to the power of n - 1)), where r = 0.05 and n = 22. The growth rate is reviewed biennially. Growth above 7% p.a. sustained for more than 3 years triggers a mandatory portfolio expansion review.</w:t>
      </w:r>
    </w:p>
    <w:p>
      <w:pPr>
        <w:spacing w:after="80" w:before="60"/>
        <w:jc w:val="left"/>
      </w:pPr>
      <w:r>
        <w:rPr>
          <w:rFonts w:ascii="Arial" w:cs="Arial" w:eastAsia="Arial" w:hAnsi="Arial"/>
          <w:b w:val="false"/>
          <w:bCs w:val="false"/>
          <w:i w:val="false"/>
          <w:iCs w:val="false"/>
          <w:caps w:val="false"/>
          <w:color w:val="000000"/>
          <w:sz w:val="21"/>
          <w:szCs w:val="21"/>
        </w:rPr>
        <w:t xml:space="preserve">The SBTi removals cap is 458,808 tCO2e. At $200/t, the maximum DAC liability is $91.8M — a 5.4x increase versus the prior estimate. Every tonne of operational abatement achieved displaces $200 of future DAC liability. This makes aggressive Wave 1 deployment the highest-return financial decision in the programme.</w:t>
      </w:r>
    </w:p>
    <w:p>
      <w:pPr>
        <w:spacing w:after="0" w:before="200"/>
      </w:pPr>
      <w:r>
        <w:t xml:space="preserve"/>
      </w:r>
    </w:p>
    <w:p>
      <w:pPr>
        <w:pBdr>
          <w:bottom w:val="single" w:color="000000" w:sz="8"/>
        </w:pBdr>
        <w:spacing w:after="160" w:before="480"/>
      </w:pPr>
      <w:r>
        <w:rPr>
          <w:rFonts w:ascii="Georgia" w:cs="Georgia" w:eastAsia="Georgia" w:hAnsi="Georgia"/>
          <w:b/>
          <w:bCs/>
          <w:color w:val="000000"/>
          <w:sz w:val="48"/>
          <w:szCs w:val="48"/>
        </w:rPr>
        <w:t xml:space="preserve">4. Reduction Targets &amp; Interim Milestones</w:t>
      </w:r>
    </w:p>
    <w:p>
      <w:pPr>
        <w:spacing w:after="120" w:before="400"/>
      </w:pPr>
      <w:r>
        <w:rPr>
          <w:rFonts w:ascii="Georgia" w:cs="Georgia" w:eastAsia="Georgia" w:hAnsi="Georgia"/>
          <w:color w:val="000000"/>
          <w:sz w:val="36"/>
          <w:szCs w:val="36"/>
        </w:rPr>
        <w:t xml:space="preserve">4.1  Milestone Schedule</w:t>
      </w:r>
    </w:p>
    <w:p>
      <w:pPr>
        <w:spacing w:after="80" w:before="60"/>
        <w:jc w:val="left"/>
      </w:pPr>
      <w:r>
        <w:rPr>
          <w:rFonts w:ascii="Arial" w:cs="Arial" w:eastAsia="Arial" w:hAnsi="Arial"/>
          <w:b w:val="false"/>
          <w:bCs w:val="false"/>
          <w:i w:val="false"/>
          <w:iCs w:val="false"/>
          <w:caps w:val="false"/>
          <w:color w:val="000000"/>
          <w:sz w:val="21"/>
          <w:szCs w:val="21"/>
        </w:rPr>
        <w:t xml:space="preserve">All milestones calculated against the market-based baseline of 1,568,434 tCO2e. The 2030 target of 784,217 tCO2e is the non-negotiable SBTi compliance gate.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40"/>
        <w:gridCol w:w="2000"/>
        <w:gridCol w:w="2720"/>
      </w:tblGrid>
      <w:tr>
        <w:trPr>
          <w:tblHeader/>
        </w:trPr>
        <w:tc>
          <w:tcPr>
            <w:tcW w:type="dxa" w:w="1200"/>
            <w:tcBorders>
              <w:top w:val="single" w:color="B6B09F" w:sz="1"/>
              <w:left w:val="single" w:color="B6B09F" w:sz="1"/>
              <w:bottom w:val="single" w:color="B6B09F" w:sz="1"/>
              <w:right w:val="single" w:color="B6B09F" w:sz="1"/>
            </w:tcBorders>
            <w:shd w:fill="00000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5"/>
                <w:szCs w:val="15"/>
              </w:rPr>
              <w:t xml:space="preserve">Year</w:t>
            </w:r>
          </w:p>
        </w:tc>
        <w:tc>
          <w:tcPr>
            <w:tcW w:type="dxa" w:w="1800"/>
            <w:tcBorders>
              <w:top w:val="single" w:color="B6B09F" w:sz="1"/>
              <w:left w:val="single" w:color="B6B09F" w:sz="1"/>
              <w:bottom w:val="single" w:color="B6B09F" w:sz="1"/>
              <w:right w:val="single" w:color="B6B09F" w:sz="1"/>
            </w:tcBorders>
            <w:shd w:fill="00000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5"/>
                <w:szCs w:val="15"/>
              </w:rPr>
              <w:t xml:space="preserve">Target (tCO2e)</w:t>
            </w:r>
          </w:p>
        </w:tc>
        <w:tc>
          <w:tcPr>
            <w:tcW w:type="dxa" w:w="1640"/>
            <w:tcBorders>
              <w:top w:val="single" w:color="B6B09F" w:sz="1"/>
              <w:left w:val="single" w:color="B6B09F" w:sz="1"/>
              <w:bottom w:val="single" w:color="B6B09F" w:sz="1"/>
              <w:right w:val="single" w:color="B6B09F" w:sz="1"/>
            </w:tcBorders>
            <w:shd w:fill="00000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5"/>
                <w:szCs w:val="15"/>
              </w:rPr>
              <w:t xml:space="preserve">vs 2023</w:t>
            </w:r>
          </w:p>
        </w:tc>
        <w:tc>
          <w:tcPr>
            <w:tcW w:type="dxa" w:w="2000"/>
            <w:tcBorders>
              <w:top w:val="single" w:color="B6B09F" w:sz="1"/>
              <w:left w:val="single" w:color="B6B09F" w:sz="1"/>
              <w:bottom w:val="single" w:color="B6B09F" w:sz="1"/>
              <w:right w:val="single" w:color="B6B09F" w:sz="1"/>
            </w:tcBorders>
            <w:shd w:fill="00000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5"/>
                <w:szCs w:val="15"/>
              </w:rPr>
              <w:t xml:space="preserve">Status</w:t>
            </w:r>
          </w:p>
        </w:tc>
        <w:tc>
          <w:tcPr>
            <w:tcW w:type="dxa" w:w="2720"/>
            <w:tcBorders>
              <w:top w:val="single" w:color="B6B09F" w:sz="1"/>
              <w:left w:val="single" w:color="B6B09F" w:sz="1"/>
              <w:bottom w:val="single" w:color="B6B09F" w:sz="1"/>
              <w:right w:val="single" w:color="B6B09F" w:sz="1"/>
            </w:tcBorders>
            <w:shd w:fill="00000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5"/>
                <w:szCs w:val="15"/>
              </w:rPr>
              <w:t xml:space="preserve">Strategic objective</w:t>
            </w:r>
          </w:p>
        </w:tc>
      </w:tr>
      <w:tr>
        <w:tc>
          <w:tcPr>
            <w:tcW w:type="dxa" w:w="12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2023</w:t>
            </w:r>
          </w:p>
        </w:tc>
        <w:tc>
          <w:tcPr>
            <w:tcW w:type="dxa" w:w="18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1,568,434</w:t>
            </w:r>
          </w:p>
        </w:tc>
        <w:tc>
          <w:tcPr>
            <w:tcW w:type="dxa" w:w="164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Baseline</w:t>
            </w:r>
          </w:p>
        </w:tc>
        <w:tc>
          <w:tcPr>
            <w:tcW w:type="dxa" w:w="2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Starting point</w:t>
            </w:r>
          </w:p>
        </w:tc>
        <w:tc>
          <w:tcPr>
            <w:tcW w:type="dxa" w:w="272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2023 verified inventory. Market-based baseline.</w:t>
            </w:r>
          </w:p>
        </w:tc>
      </w:tr>
      <w:tr>
        <w:tc>
          <w:tcPr>
            <w:tcW w:type="dxa" w:w="12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2027</w:t>
            </w:r>
          </w:p>
        </w:tc>
        <w:tc>
          <w:tcPr>
            <w:tcW w:type="dxa" w:w="18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1,254,747</w:t>
            </w:r>
          </w:p>
        </w:tc>
        <w:tc>
          <w:tcPr>
            <w:tcW w:type="dxa" w:w="164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-20%</w:t>
            </w:r>
          </w:p>
        </w:tc>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Wave 1 complete</w:t>
            </w:r>
          </w:p>
        </w:tc>
        <w:tc>
          <w:tcPr>
            <w:tcW w:type="dxa" w:w="272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Wave 1 complete. Efficiency, solar, modal shift deployed.</w:t>
            </w:r>
          </w:p>
        </w:tc>
      </w:tr>
      <w:tr>
        <w:tc>
          <w:tcPr>
            <w:tcW w:type="dxa" w:w="120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2030</w:t>
            </w:r>
          </w:p>
        </w:tc>
        <w:tc>
          <w:tcPr>
            <w:tcW w:type="dxa" w:w="180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784,217</w:t>
            </w:r>
          </w:p>
        </w:tc>
        <w:tc>
          <w:tcPr>
            <w:tcW w:type="dxa" w:w="164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-50%</w:t>
            </w:r>
          </w:p>
        </w:tc>
        <w:tc>
          <w:tcPr>
            <w:tcW w:type="dxa" w:w="200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SBTi 1.5°C gate</w:t>
            </w:r>
          </w:p>
        </w:tc>
        <w:tc>
          <w:tcPr>
            <w:tcW w:type="dxa" w:w="272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SBTi 1.5°C mandatory gate. External verification required.</w:t>
            </w:r>
          </w:p>
        </w:tc>
      </w:tr>
      <w:tr>
        <w:tc>
          <w:tcPr>
            <w:tcW w:type="dxa" w:w="12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2035</w:t>
            </w:r>
          </w:p>
        </w:tc>
        <w:tc>
          <w:tcPr>
            <w:tcW w:type="dxa" w:w="18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392,109</w:t>
            </w:r>
          </w:p>
        </w:tc>
        <w:tc>
          <w:tcPr>
            <w:tcW w:type="dxa" w:w="164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-75%</w:t>
            </w:r>
          </w:p>
        </w:tc>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Wave 3 complete</w:t>
            </w:r>
          </w:p>
        </w:tc>
        <w:tc>
          <w:tcPr>
            <w:tcW w:type="dxa" w:w="272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Wave 3 complete. Supply chain transformation embedded.</w:t>
            </w:r>
          </w:p>
        </w:tc>
      </w:tr>
      <w:tr>
        <w:tc>
          <w:tcPr>
            <w:tcW w:type="dxa" w:w="12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2040</w:t>
            </w:r>
          </w:p>
        </w:tc>
        <w:tc>
          <w:tcPr>
            <w:tcW w:type="dxa" w:w="18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156,843</w:t>
            </w:r>
          </w:p>
        </w:tc>
        <w:tc>
          <w:tcPr>
            <w:tcW w:type="dxa" w:w="164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-90%</w:t>
            </w:r>
          </w:p>
        </w:tc>
        <w:tc>
          <w:tcPr>
            <w:tcW w:type="dxa" w:w="2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Wave 4 begins</w:t>
            </w:r>
          </w:p>
        </w:tc>
        <w:tc>
          <w:tcPr>
            <w:tcW w:type="dxa" w:w="272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Wave 4 begins. DAC contracts executed for residual only.</w:t>
            </w:r>
          </w:p>
        </w:tc>
      </w:tr>
      <w:tr>
        <w:tc>
          <w:tcPr>
            <w:tcW w:type="dxa" w:w="12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2045</w:t>
            </w:r>
          </w:p>
        </w:tc>
        <w:tc>
          <w:tcPr>
            <w:tcW w:type="dxa" w:w="18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w:t>
            </w:r>
          </w:p>
        </w:tc>
        <w:tc>
          <w:tcPr>
            <w:tcW w:type="dxa" w:w="164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-100%</w:t>
            </w:r>
          </w:p>
        </w:tc>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Net-Zero achieved</w:t>
            </w:r>
          </w:p>
        </w:tc>
        <w:tc>
          <w:tcPr>
            <w:tcW w:type="dxa" w:w="272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Net-Zero achieved. All residual neutralised via DAC.</w:t>
            </w:r>
          </w:p>
        </w:tc>
      </w:tr>
    </w:tbl>
    <w:p>
      <w:pPr>
        <w:spacing w:after="0" w:before="120"/>
      </w:pPr>
      <w:r>
        <w:t xml:space="preserve"/>
      </w:r>
    </w:p>
    <w:p>
      <w:pPr>
        <w:spacing w:after="120" w:before="400"/>
      </w:pPr>
      <w:r>
        <w:rPr>
          <w:rFonts w:ascii="Georgia" w:cs="Georgia" w:eastAsia="Georgia" w:hAnsi="Georgia"/>
          <w:color w:val="000000"/>
          <w:sz w:val="36"/>
          <w:szCs w:val="36"/>
        </w:rPr>
        <w:t xml:space="preserve">4.2  Year-on-Year Reduction Rates</w:t>
      </w:r>
    </w:p>
    <w:p>
      <w:pPr>
        <w:spacing w:after="80" w:before="60"/>
        <w:jc w:val="left"/>
      </w:pPr>
      <w:r>
        <w:rPr>
          <w:rFonts w:ascii="Arial" w:cs="Arial" w:eastAsia="Arial" w:hAnsi="Arial"/>
          <w:b w:val="false"/>
          <w:bCs w:val="false"/>
          <w:i w:val="false"/>
          <w:iCs w:val="false"/>
          <w:caps w:val="false"/>
          <w:color w:val="000000"/>
          <w:sz w:val="21"/>
          <w:szCs w:val="21"/>
        </w:rPr>
        <w:t xml:space="preserve">The reduction profile is front-loaded. Wave 1 deploys all negative-MAC levers immediately, driving a 7.2% annual rate. Wave 2 sustains momentum through capital-intensive supply chain transformation. The rate moderates in Wave 3 as the residual base shrinks.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rPr>
          <w:tblHeader/>
        </w:trPr>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6"/>
                <w:szCs w:val="16"/>
              </w:rPr>
              <w:t xml:space="preserve">Period</w:t>
            </w:r>
          </w:p>
        </w:tc>
        <w:tc>
          <w:tcPr>
            <w:tcW w:type="dxa" w:w="16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6"/>
                <w:szCs w:val="16"/>
              </w:rPr>
              <w:t xml:space="preserve">YoY Rate</w:t>
            </w:r>
          </w:p>
        </w:tc>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6"/>
                <w:szCs w:val="16"/>
              </w:rPr>
              <w:t xml:space="preserve">Abatement Volume</w:t>
            </w:r>
          </w:p>
        </w:tc>
        <w:tc>
          <w:tcPr>
            <w:tcW w:type="dxa" w:w="37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6"/>
                <w:szCs w:val="16"/>
              </w:rPr>
              <w:t xml:space="preserve">Primary Drivers</w:t>
            </w:r>
          </w:p>
        </w:tc>
      </w:tr>
      <w:tr>
        <w:tc>
          <w:tcPr>
            <w:tcW w:type="dxa" w:w="2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2025-2027</w:t>
            </w:r>
          </w:p>
        </w:tc>
        <w:tc>
          <w:tcPr>
            <w:tcW w:type="dxa" w:w="16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-7.2% p.a.</w:t>
            </w:r>
          </w:p>
        </w:tc>
        <w:tc>
          <w:tcPr>
            <w:tcW w:type="dxa" w:w="2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313,687 tCO2e</w:t>
            </w:r>
          </w:p>
        </w:tc>
        <w:tc>
          <w:tcPr>
            <w:tcW w:type="dxa" w:w="37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LED, HVAC, solar PV, EV forklifts, air-to-sea logistics shift</w:t>
            </w:r>
          </w:p>
        </w:tc>
      </w:tr>
      <w:tr>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2028-2032</w:t>
            </w:r>
          </w:p>
        </w:tc>
        <w:tc>
          <w:tcPr>
            <w:tcW w:type="dxa" w:w="16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-9.8% p.a.</w:t>
            </w:r>
          </w:p>
        </w:tc>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470,530 tCO2e</w:t>
            </w:r>
          </w:p>
        </w:tc>
        <w:tc>
          <w:tcPr>
            <w:tcW w:type="dxa" w:w="37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Virtual PPAs, heat pumps, recycled aluminium, bio-packaging, supplier mandates</w:t>
            </w:r>
          </w:p>
        </w:tc>
      </w:tr>
      <w:tr>
        <w:tc>
          <w:tcPr>
            <w:tcW w:type="dxa" w:w="2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2033-2040</w:t>
            </w:r>
          </w:p>
        </w:tc>
        <w:tc>
          <w:tcPr>
            <w:tcW w:type="dxa" w:w="16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-5.1% p.a.</w:t>
            </w:r>
          </w:p>
        </w:tc>
        <w:tc>
          <w:tcPr>
            <w:tcW w:type="dxa" w:w="2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235,266 tCO2e</w:t>
            </w:r>
          </w:p>
        </w:tc>
        <w:tc>
          <w:tcPr>
            <w:tcW w:type="dxa" w:w="37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Supplier SBTi mandates, grid decarbonisation, process electrification</w:t>
            </w:r>
          </w:p>
        </w:tc>
      </w:tr>
      <w:tr>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2041-2045</w:t>
            </w:r>
          </w:p>
        </w:tc>
        <w:tc>
          <w:tcPr>
            <w:tcW w:type="dxa" w:w="16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-7.0% p.a.</w:t>
            </w:r>
          </w:p>
        </w:tc>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156,843 tCO2e</w:t>
            </w:r>
          </w:p>
        </w:tc>
        <w:tc>
          <w:tcPr>
            <w:tcW w:type="dxa" w:w="37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DAC removals. Residual neutralisation only. $200/t liability.</w:t>
            </w:r>
          </w:p>
        </w:tc>
      </w:tr>
    </w:tbl>
    <w:p>
      <w:pPr>
        <w:spacing w:after="0" w:before="120"/>
      </w:pPr>
      <w:r>
        <w:t xml:space="preserve"/>
      </w:r>
    </w:p>
    <w:p>
      <w:pPr>
        <w:spacing w:after="80" w:before="60"/>
        <w:jc w:val="left"/>
      </w:pPr>
      <w:r>
        <w:rPr>
          <w:rFonts w:ascii="Arial" w:cs="Arial" w:eastAsia="Arial" w:hAnsi="Arial"/>
          <w:b w:val="false"/>
          <w:bCs w:val="false"/>
          <w:i w:val="false"/>
          <w:iCs w:val="false"/>
          <w:caps w:val="false"/>
          <w:color w:val="000000"/>
          <w:sz w:val="21"/>
          <w:szCs w:val="21"/>
        </w:rPr>
        <w:t xml:space="preserve">The compound annual reduction rate required across the full 22-year programme is 5.8% per annum against a growing baseline. The current lever portfolio covers 14% of gross debt. Portfolio augmentation targeting Cat 1 and Cat 11 is required to close the gap without breaching the removals cap.</w:t>
      </w:r>
    </w:p>
    <w:p>
      <w:pPr>
        <w:spacing w:after="0" w:before="200"/>
      </w:pPr>
      <w:r>
        <w:t xml:space="preserve"/>
      </w:r>
    </w:p>
    <w:p>
      <w:pPr>
        <w:pBdr>
          <w:bottom w:val="single" w:color="000000" w:sz="8"/>
        </w:pBdr>
        <w:spacing w:after="160" w:before="480"/>
      </w:pPr>
      <w:r>
        <w:rPr>
          <w:rFonts w:ascii="Georgia" w:cs="Georgia" w:eastAsia="Georgia" w:hAnsi="Georgia"/>
          <w:b/>
          <w:bCs/>
          <w:color w:val="000000"/>
          <w:sz w:val="48"/>
          <w:szCs w:val="48"/>
        </w:rPr>
        <w:t xml:space="preserve">5. Abatement Lever Portfolio</w:t>
      </w:r>
    </w:p>
    <w:p>
      <w:pPr>
        <w:spacing w:after="120" w:before="400"/>
      </w:pPr>
      <w:r>
        <w:rPr>
          <w:rFonts w:ascii="Georgia" w:cs="Georgia" w:eastAsia="Georgia" w:hAnsi="Georgia"/>
          <w:color w:val="000000"/>
          <w:sz w:val="36"/>
          <w:szCs w:val="36"/>
        </w:rPr>
        <w:t xml:space="preserve">5.1  Investment Wave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40" w:before="0"/>
              <w:jc w:val="left"/>
            </w:pPr>
            <w:r>
              <w:rPr>
                <w:rFonts w:ascii="Arial" w:cs="Arial" w:eastAsia="Arial" w:hAnsi="Arial"/>
                <w:b w:val="false"/>
                <w:bCs w:val="false"/>
                <w:i w:val="false"/>
                <w:iCs w:val="false"/>
                <w:caps/>
                <w:color w:val="B6B09F"/>
                <w:sz w:val="17"/>
                <w:szCs w:val="17"/>
              </w:rPr>
              <w:t xml:space="preserve">Wave 1</w:t>
            </w:r>
          </w:p>
          <w:p>
            <w:pPr>
              <w:spacing w:after="40" w:before="40"/>
              <w:jc w:val="left"/>
            </w:pPr>
            <w:r>
              <w:rPr>
                <w:rFonts w:ascii="Arial" w:cs="Arial" w:eastAsia="Arial" w:hAnsi="Arial"/>
                <w:b/>
                <w:bCs/>
                <w:i w:val="false"/>
                <w:iCs w:val="false"/>
                <w:caps w:val="false"/>
                <w:color w:val="000000"/>
                <w:sz w:val="22"/>
                <w:szCs w:val="22"/>
              </w:rPr>
              <w:t xml:space="preserve">2025-2027</w:t>
            </w:r>
          </w:p>
          <w:p>
            <w:pPr>
              <w:spacing w:after="40" w:before="0"/>
              <w:jc w:val="left"/>
            </w:pPr>
            <w:r>
              <w:rPr>
                <w:rFonts w:ascii="Arial" w:cs="Arial" w:eastAsia="Arial" w:hAnsi="Arial"/>
                <w:b w:val="false"/>
                <w:bCs w:val="false"/>
                <w:i w:val="false"/>
                <w:iCs w:val="false"/>
                <w:caps w:val="false"/>
                <w:color w:val="000000"/>
                <w:sz w:val="18"/>
                <w:szCs w:val="18"/>
              </w:rPr>
              <w:t xml:space="preserve">7 levers. All MAC &lt; $0. Efficiency, solar, logistics. Rapid payback.</w:t>
            </w:r>
          </w:p>
          <w:p>
            <w:pPr>
              <w:spacing w:after="0" w:before="20"/>
              <w:jc w:val="left"/>
            </w:pPr>
            <w:r>
              <w:rPr>
                <w:rFonts w:ascii="Arial" w:cs="Arial" w:eastAsia="Arial" w:hAnsi="Arial"/>
                <w:b/>
                <w:bCs/>
                <w:i w:val="false"/>
                <w:iCs w:val="false"/>
                <w:caps w:val="false"/>
                <w:color w:val="000000"/>
                <w:sz w:val="18"/>
                <w:szCs w:val="18"/>
              </w:rPr>
              <w:t xml:space="preserve">230,000 tCO2e</w:t>
            </w:r>
          </w:p>
        </w:tc>
        <w:tc>
          <w:tcPr>
            <w:tcW w:type="dxa" w:w="234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40" w:before="0"/>
              <w:jc w:val="left"/>
            </w:pPr>
            <w:r>
              <w:rPr>
                <w:rFonts w:ascii="Arial" w:cs="Arial" w:eastAsia="Arial" w:hAnsi="Arial"/>
                <w:b w:val="false"/>
                <w:bCs w:val="false"/>
                <w:i w:val="false"/>
                <w:iCs w:val="false"/>
                <w:caps/>
                <w:color w:val="B6B09F"/>
                <w:sz w:val="17"/>
                <w:szCs w:val="17"/>
              </w:rPr>
              <w:t xml:space="preserve">Wave 2</w:t>
            </w:r>
          </w:p>
          <w:p>
            <w:pPr>
              <w:spacing w:after="40" w:before="40"/>
              <w:jc w:val="left"/>
            </w:pPr>
            <w:r>
              <w:rPr>
                <w:rFonts w:ascii="Arial" w:cs="Arial" w:eastAsia="Arial" w:hAnsi="Arial"/>
                <w:b/>
                <w:bCs/>
                <w:i w:val="false"/>
                <w:iCs w:val="false"/>
                <w:caps w:val="false"/>
                <w:color w:val="000000"/>
                <w:sz w:val="22"/>
                <w:szCs w:val="22"/>
              </w:rPr>
              <w:t xml:space="preserve">2028-2032</w:t>
            </w:r>
          </w:p>
          <w:p>
            <w:pPr>
              <w:spacing w:after="40" w:before="0"/>
              <w:jc w:val="left"/>
            </w:pPr>
            <w:r>
              <w:rPr>
                <w:rFonts w:ascii="Arial" w:cs="Arial" w:eastAsia="Arial" w:hAnsi="Arial"/>
                <w:b w:val="false"/>
                <w:bCs w:val="false"/>
                <w:i w:val="false"/>
                <w:iCs w:val="false"/>
                <w:caps w:val="false"/>
                <w:color w:val="000000"/>
                <w:sz w:val="18"/>
                <w:szCs w:val="18"/>
              </w:rPr>
              <w:t xml:space="preserve">5 levers. MAC $20-$85. Heavy CAPEX, supply chain transformation.</w:t>
            </w:r>
          </w:p>
          <w:p>
            <w:pPr>
              <w:spacing w:after="0" w:before="20"/>
              <w:jc w:val="left"/>
            </w:pPr>
            <w:r>
              <w:rPr>
                <w:rFonts w:ascii="Arial" w:cs="Arial" w:eastAsia="Arial" w:hAnsi="Arial"/>
                <w:b/>
                <w:bCs/>
                <w:i w:val="false"/>
                <w:iCs w:val="false"/>
                <w:caps w:val="false"/>
                <w:color w:val="000000"/>
                <w:sz w:val="18"/>
                <w:szCs w:val="18"/>
              </w:rPr>
              <w:t xml:space="preserve">400,000 tCO2e</w:t>
            </w:r>
          </w:p>
        </w:tc>
        <w:tc>
          <w:tcPr>
            <w:tcW w:type="dxa" w:w="234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40" w:before="0"/>
              <w:jc w:val="left"/>
            </w:pPr>
            <w:r>
              <w:rPr>
                <w:rFonts w:ascii="Arial" w:cs="Arial" w:eastAsia="Arial" w:hAnsi="Arial"/>
                <w:b w:val="false"/>
                <w:bCs w:val="false"/>
                <w:i w:val="false"/>
                <w:iCs w:val="false"/>
                <w:caps/>
                <w:color w:val="B6B09F"/>
                <w:sz w:val="17"/>
                <w:szCs w:val="17"/>
              </w:rPr>
              <w:t xml:space="preserve">Wave 3</w:t>
            </w:r>
          </w:p>
          <w:p>
            <w:pPr>
              <w:spacing w:after="40" w:before="40"/>
              <w:jc w:val="left"/>
            </w:pPr>
            <w:r>
              <w:rPr>
                <w:rFonts w:ascii="Arial" w:cs="Arial" w:eastAsia="Arial" w:hAnsi="Arial"/>
                <w:b/>
                <w:bCs/>
                <w:i w:val="false"/>
                <w:iCs w:val="false"/>
                <w:caps w:val="false"/>
                <w:color w:val="000000"/>
                <w:sz w:val="22"/>
                <w:szCs w:val="22"/>
              </w:rPr>
              <w:t xml:space="preserve">2033-2040</w:t>
            </w:r>
          </w:p>
          <w:p>
            <w:pPr>
              <w:spacing w:after="40" w:before="0"/>
              <w:jc w:val="left"/>
            </w:pPr>
            <w:r>
              <w:rPr>
                <w:rFonts w:ascii="Arial" w:cs="Arial" w:eastAsia="Arial" w:hAnsi="Arial"/>
                <w:b w:val="false"/>
                <w:bCs w:val="false"/>
                <w:i w:val="false"/>
                <w:iCs w:val="false"/>
                <w:caps w:val="false"/>
                <w:color w:val="000000"/>
                <w:sz w:val="18"/>
                <w:szCs w:val="18"/>
              </w:rPr>
              <w:t xml:space="preserve">1 lever. MAC = $100. Supplier mandates. Threshold monitoring required.</w:t>
            </w:r>
          </w:p>
          <w:p>
            <w:pPr>
              <w:spacing w:after="0" w:before="20"/>
              <w:jc w:val="left"/>
            </w:pPr>
            <w:r>
              <w:rPr>
                <w:rFonts w:ascii="Arial" w:cs="Arial" w:eastAsia="Arial" w:hAnsi="Arial"/>
                <w:b/>
                <w:bCs/>
                <w:i w:val="false"/>
                <w:iCs w:val="false"/>
                <w:caps w:val="false"/>
                <w:color w:val="000000"/>
                <w:sz w:val="18"/>
                <w:szCs w:val="18"/>
              </w:rPr>
              <w:t xml:space="preserve">55,000 tCO2e</w:t>
            </w:r>
          </w:p>
        </w:tc>
        <w:tc>
          <w:tcPr>
            <w:tcW w:type="dxa" w:w="234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40" w:before="0"/>
              <w:jc w:val="left"/>
            </w:pPr>
            <w:r>
              <w:rPr>
                <w:rFonts w:ascii="Arial" w:cs="Arial" w:eastAsia="Arial" w:hAnsi="Arial"/>
                <w:b w:val="false"/>
                <w:bCs w:val="false"/>
                <w:i w:val="false"/>
                <w:iCs w:val="false"/>
                <w:caps/>
                <w:color w:val="B6B09F"/>
                <w:sz w:val="17"/>
                <w:szCs w:val="17"/>
              </w:rPr>
              <w:t xml:space="preserve">Wave 4</w:t>
            </w:r>
          </w:p>
          <w:p>
            <w:pPr>
              <w:spacing w:after="40" w:before="40"/>
              <w:jc w:val="left"/>
            </w:pPr>
            <w:r>
              <w:rPr>
                <w:rFonts w:ascii="Arial" w:cs="Arial" w:eastAsia="Arial" w:hAnsi="Arial"/>
                <w:b/>
                <w:bCs/>
                <w:i w:val="false"/>
                <w:iCs w:val="false"/>
                <w:caps w:val="false"/>
                <w:color w:val="000000"/>
                <w:sz w:val="22"/>
                <w:szCs w:val="22"/>
              </w:rPr>
              <w:t xml:space="preserve">2040-2045</w:t>
            </w:r>
          </w:p>
          <w:p>
            <w:pPr>
              <w:spacing w:after="40" w:before="0"/>
              <w:jc w:val="left"/>
            </w:pPr>
            <w:r>
              <w:rPr>
                <w:rFonts w:ascii="Arial" w:cs="Arial" w:eastAsia="Arial" w:hAnsi="Arial"/>
                <w:b w:val="false"/>
                <w:bCs w:val="false"/>
                <w:i w:val="false"/>
                <w:iCs w:val="false"/>
                <w:caps w:val="false"/>
                <w:color w:val="000000"/>
                <w:sz w:val="18"/>
                <w:szCs w:val="18"/>
              </w:rPr>
              <w:t xml:space="preserve">DAC removals. $200/t. SBTi cap: 458,808 tCO2e max.</w:t>
            </w:r>
          </w:p>
          <w:p>
            <w:pPr>
              <w:spacing w:after="0" w:before="20"/>
              <w:jc w:val="left"/>
            </w:pPr>
            <w:r>
              <w:rPr>
                <w:rFonts w:ascii="Arial" w:cs="Arial" w:eastAsia="Arial" w:hAnsi="Arial"/>
                <w:b/>
                <w:bCs/>
                <w:i w:val="false"/>
                <w:iCs w:val="false"/>
                <w:caps w:val="false"/>
                <w:color w:val="000000"/>
                <w:sz w:val="18"/>
                <w:szCs w:val="18"/>
              </w:rPr>
              <w:t xml:space="preserve">&lt;=458,808 tCO2e</w:t>
            </w:r>
          </w:p>
        </w:tc>
      </w:tr>
    </w:tbl>
    <w:p>
      <w:pPr>
        <w:spacing w:after="0" w:before="160"/>
      </w:pPr>
      <w:r>
        <w:t xml:space="preserve"/>
      </w:r>
    </w:p>
    <w:p>
      <w:pPr>
        <w:spacing w:after="120" w:before="400"/>
      </w:pPr>
      <w:r>
        <w:rPr>
          <w:rFonts w:ascii="Georgia" w:cs="Georgia" w:eastAsia="Georgia" w:hAnsi="Georgia"/>
          <w:color w:val="000000"/>
          <w:sz w:val="36"/>
          <w:szCs w:val="36"/>
        </w:rPr>
        <w:t xml:space="preserve">5.2  Full Lever Portfolio</w:t>
      </w:r>
    </w:p>
    <w:p>
      <w:pPr>
        <w:spacing w:after="80" w:before="60"/>
        <w:jc w:val="left"/>
      </w:pPr>
      <w:r>
        <w:rPr>
          <w:rFonts w:ascii="Arial" w:cs="Arial" w:eastAsia="Arial" w:hAnsi="Arial"/>
          <w:b w:val="false"/>
          <w:bCs w:val="false"/>
          <w:i w:val="false"/>
          <w:iCs w:val="false"/>
          <w:caps w:val="false"/>
          <w:color w:val="000000"/>
          <w:sz w:val="21"/>
          <w:szCs w:val="21"/>
        </w:rPr>
        <w:t xml:space="preserve">14 levers across 4 waves. DAC ceiling updated to 458,808 tCO2e (10% of revised gross debt). All other lever potentials are unchanged from the validated technical brief.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540"/>
        <w:gridCol w:w="1000"/>
        <w:gridCol w:w="1000"/>
        <w:gridCol w:w="1520"/>
      </w:tblGrid>
      <w:tr>
        <w:trPr>
          <w:tblHeader/>
        </w:trPr>
        <w:tc>
          <w:tcPr>
            <w:tcW w:type="dxa" w:w="2400"/>
            <w:tcBorders>
              <w:top w:val="single" w:color="B6B09F" w:sz="1"/>
              <w:left w:val="single" w:color="B6B09F" w:sz="1"/>
              <w:bottom w:val="single" w:color="B6B09F" w:sz="1"/>
              <w:right w:val="single" w:color="B6B09F" w:sz="1"/>
            </w:tcBorders>
            <w:shd w:fill="00000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4"/>
                <w:szCs w:val="14"/>
              </w:rPr>
              <w:t xml:space="preserve">Lever</w:t>
            </w:r>
          </w:p>
        </w:tc>
        <w:tc>
          <w:tcPr>
            <w:tcW w:type="dxa" w:w="900"/>
            <w:tcBorders>
              <w:top w:val="single" w:color="B6B09F" w:sz="1"/>
              <w:left w:val="single" w:color="B6B09F" w:sz="1"/>
              <w:bottom w:val="single" w:color="B6B09F" w:sz="1"/>
              <w:right w:val="single" w:color="B6B09F" w:sz="1"/>
            </w:tcBorders>
            <w:shd w:fill="00000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4"/>
                <w:szCs w:val="14"/>
              </w:rPr>
              <w:t xml:space="preserve">Scope</w:t>
            </w:r>
          </w:p>
        </w:tc>
        <w:tc>
          <w:tcPr>
            <w:tcW w:type="dxa" w:w="1540"/>
            <w:tcBorders>
              <w:top w:val="single" w:color="B6B09F" w:sz="1"/>
              <w:left w:val="single" w:color="B6B09F" w:sz="1"/>
              <w:bottom w:val="single" w:color="B6B09F" w:sz="1"/>
              <w:right w:val="single" w:color="B6B09F" w:sz="1"/>
            </w:tcBorders>
            <w:shd w:fill="00000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4"/>
                <w:szCs w:val="14"/>
              </w:rPr>
              <w:t xml:space="preserve">Max Abatement</w:t>
            </w:r>
          </w:p>
        </w:tc>
        <w:tc>
          <w:tcPr>
            <w:tcW w:type="dxa" w:w="1000"/>
            <w:tcBorders>
              <w:top w:val="single" w:color="B6B09F" w:sz="1"/>
              <w:left w:val="single" w:color="B6B09F" w:sz="1"/>
              <w:bottom w:val="single" w:color="B6B09F" w:sz="1"/>
              <w:right w:val="single" w:color="B6B09F" w:sz="1"/>
            </w:tcBorders>
            <w:shd w:fill="00000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4"/>
                <w:szCs w:val="14"/>
              </w:rPr>
              <w:t xml:space="preserve">CAPEX ($M)</w:t>
            </w:r>
          </w:p>
        </w:tc>
        <w:tc>
          <w:tcPr>
            <w:tcW w:type="dxa" w:w="1000"/>
            <w:tcBorders>
              <w:top w:val="single" w:color="B6B09F" w:sz="1"/>
              <w:left w:val="single" w:color="B6B09F" w:sz="1"/>
              <w:bottom w:val="single" w:color="B6B09F" w:sz="1"/>
              <w:right w:val="single" w:color="B6B09F" w:sz="1"/>
            </w:tcBorders>
            <w:shd w:fill="00000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4"/>
                <w:szCs w:val="14"/>
              </w:rPr>
              <w:t xml:space="preserve">MAC ($/t)</w:t>
            </w:r>
          </w:p>
        </w:tc>
        <w:tc>
          <w:tcPr>
            <w:tcW w:type="dxa" w:w="1520"/>
            <w:tcBorders>
              <w:top w:val="single" w:color="B6B09F" w:sz="1"/>
              <w:left w:val="single" w:color="B6B09F" w:sz="1"/>
              <w:bottom w:val="single" w:color="B6B09F" w:sz="1"/>
              <w:right w:val="single" w:color="B6B09F" w:sz="1"/>
            </w:tcBorders>
            <w:shd w:fill="00000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4"/>
                <w:szCs w:val="14"/>
              </w:rPr>
              <w:t xml:space="preserve">Wave / Status</w:t>
            </w:r>
          </w:p>
        </w:tc>
      </w:tr>
      <w:tr>
        <w:tc>
          <w:tcPr>
            <w:tcW w:type="dxa" w:w="24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Logistics Modal Shift (Air to Sea)</w:t>
            </w:r>
          </w:p>
        </w:tc>
        <w:tc>
          <w:tcPr>
            <w:tcW w:type="dxa" w:w="9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3</w:t>
            </w:r>
          </w:p>
        </w:tc>
        <w:tc>
          <w:tcPr>
            <w:tcW w:type="dxa" w:w="154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90,000</w:t>
            </w:r>
          </w:p>
        </w:tc>
        <w:tc>
          <w:tcPr>
            <w:tcW w:type="dxa" w:w="1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$0</w:t>
            </w:r>
          </w:p>
        </w:tc>
        <w:tc>
          <w:tcPr>
            <w:tcW w:type="dxa" w:w="1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-30</w:t>
            </w:r>
          </w:p>
        </w:tc>
        <w:tc>
          <w:tcPr>
            <w:tcW w:type="dxa" w:w="152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7"/>
                <w:szCs w:val="17"/>
              </w:rPr>
              <w:t xml:space="preserve">W1 GO</w:t>
            </w:r>
          </w:p>
        </w:tc>
      </w:tr>
      <w:tr>
        <w:tc>
          <w:tcPr>
            <w:tcW w:type="dxa" w:w="24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LED Retrofit &amp; Lighting Controls</w:t>
            </w:r>
          </w:p>
        </w:tc>
        <w:tc>
          <w:tcPr>
            <w:tcW w:type="dxa" w:w="9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1&amp;2</w:t>
            </w:r>
          </w:p>
        </w:tc>
        <w:tc>
          <w:tcPr>
            <w:tcW w:type="dxa" w:w="154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15,000</w:t>
            </w:r>
          </w:p>
        </w:tc>
        <w:tc>
          <w:tcPr>
            <w:tcW w:type="dxa" w:w="1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$0.45</w:t>
            </w:r>
          </w:p>
        </w:tc>
        <w:tc>
          <w:tcPr>
            <w:tcW w:type="dxa" w:w="1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-45</w:t>
            </w:r>
          </w:p>
        </w:tc>
        <w:tc>
          <w:tcPr>
            <w:tcW w:type="dxa" w:w="152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7"/>
                <w:szCs w:val="17"/>
              </w:rPr>
              <w:t xml:space="preserve">W1 GO</w:t>
            </w:r>
          </w:p>
        </w:tc>
      </w:tr>
      <w:tr>
        <w:tc>
          <w:tcPr>
            <w:tcW w:type="dxa" w:w="24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Compressed Air Leak Detection</w:t>
            </w:r>
          </w:p>
        </w:tc>
        <w:tc>
          <w:tcPr>
            <w:tcW w:type="dxa" w:w="9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1&amp;2</w:t>
            </w:r>
          </w:p>
        </w:tc>
        <w:tc>
          <w:tcPr>
            <w:tcW w:type="dxa" w:w="154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12,000</w:t>
            </w:r>
          </w:p>
        </w:tc>
        <w:tc>
          <w:tcPr>
            <w:tcW w:type="dxa" w:w="1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$0.15</w:t>
            </w:r>
          </w:p>
        </w:tc>
        <w:tc>
          <w:tcPr>
            <w:tcW w:type="dxa" w:w="1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-65</w:t>
            </w:r>
          </w:p>
        </w:tc>
        <w:tc>
          <w:tcPr>
            <w:tcW w:type="dxa" w:w="152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7"/>
                <w:szCs w:val="17"/>
              </w:rPr>
              <w:t xml:space="preserve">W1 GO</w:t>
            </w:r>
          </w:p>
        </w:tc>
      </w:tr>
      <w:tr>
        <w:tc>
          <w:tcPr>
            <w:tcW w:type="dxa" w:w="24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HVAC Optimization &amp; AI Sensors</w:t>
            </w:r>
          </w:p>
        </w:tc>
        <w:tc>
          <w:tcPr>
            <w:tcW w:type="dxa" w:w="9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1&amp;2</w:t>
            </w:r>
          </w:p>
        </w:tc>
        <w:tc>
          <w:tcPr>
            <w:tcW w:type="dxa" w:w="154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25,000</w:t>
            </w:r>
          </w:p>
        </w:tc>
        <w:tc>
          <w:tcPr>
            <w:tcW w:type="dxa" w:w="1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$1.2</w:t>
            </w:r>
          </w:p>
        </w:tc>
        <w:tc>
          <w:tcPr>
            <w:tcW w:type="dxa" w:w="1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-25</w:t>
            </w:r>
          </w:p>
        </w:tc>
        <w:tc>
          <w:tcPr>
            <w:tcW w:type="dxa" w:w="152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7"/>
                <w:szCs w:val="17"/>
              </w:rPr>
              <w:t xml:space="preserve">W1 GO</w:t>
            </w:r>
          </w:p>
        </w:tc>
      </w:tr>
      <w:tr>
        <w:tc>
          <w:tcPr>
            <w:tcW w:type="dxa" w:w="24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Smart Building Management System</w:t>
            </w:r>
          </w:p>
        </w:tc>
        <w:tc>
          <w:tcPr>
            <w:tcW w:type="dxa" w:w="9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1&amp;2</w:t>
            </w:r>
          </w:p>
        </w:tc>
        <w:tc>
          <w:tcPr>
            <w:tcW w:type="dxa" w:w="154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33,000</w:t>
            </w:r>
          </w:p>
        </w:tc>
        <w:tc>
          <w:tcPr>
            <w:tcW w:type="dxa" w:w="1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$2.1</w:t>
            </w:r>
          </w:p>
        </w:tc>
        <w:tc>
          <w:tcPr>
            <w:tcW w:type="dxa" w:w="1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-15</w:t>
            </w:r>
          </w:p>
        </w:tc>
        <w:tc>
          <w:tcPr>
            <w:tcW w:type="dxa" w:w="152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7"/>
                <w:szCs w:val="17"/>
              </w:rPr>
              <w:t xml:space="preserve">W1 GO</w:t>
            </w:r>
          </w:p>
        </w:tc>
      </w:tr>
      <w:tr>
        <w:tc>
          <w:tcPr>
            <w:tcW w:type="dxa" w:w="24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On-site Rooftop Solar PV</w:t>
            </w:r>
          </w:p>
        </w:tc>
        <w:tc>
          <w:tcPr>
            <w:tcW w:type="dxa" w:w="9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2</w:t>
            </w:r>
          </w:p>
        </w:tc>
        <w:tc>
          <w:tcPr>
            <w:tcW w:type="dxa" w:w="154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45,000</w:t>
            </w:r>
          </w:p>
        </w:tc>
        <w:tc>
          <w:tcPr>
            <w:tcW w:type="dxa" w:w="1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$5.4</w:t>
            </w:r>
          </w:p>
        </w:tc>
        <w:tc>
          <w:tcPr>
            <w:tcW w:type="dxa" w:w="1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$5</w:t>
            </w:r>
          </w:p>
        </w:tc>
        <w:tc>
          <w:tcPr>
            <w:tcW w:type="dxa" w:w="152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7"/>
                <w:szCs w:val="17"/>
              </w:rPr>
              <w:t xml:space="preserve">W1 GO</w:t>
            </w:r>
          </w:p>
        </w:tc>
      </w:tr>
      <w:tr>
        <w:tc>
          <w:tcPr>
            <w:tcW w:type="dxa" w:w="24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Electric Forklift Fleet Transition</w:t>
            </w:r>
          </w:p>
        </w:tc>
        <w:tc>
          <w:tcPr>
            <w:tcW w:type="dxa" w:w="9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w:t>
            </w:r>
          </w:p>
        </w:tc>
        <w:tc>
          <w:tcPr>
            <w:tcW w:type="dxa" w:w="154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10,000</w:t>
            </w:r>
          </w:p>
        </w:tc>
        <w:tc>
          <w:tcPr>
            <w:tcW w:type="dxa" w:w="1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$1.2</w:t>
            </w:r>
          </w:p>
        </w:tc>
        <w:tc>
          <w:tcPr>
            <w:tcW w:type="dxa" w:w="1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$15</w:t>
            </w:r>
          </w:p>
        </w:tc>
        <w:tc>
          <w:tcPr>
            <w:tcW w:type="dxa" w:w="152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7"/>
                <w:szCs w:val="17"/>
              </w:rPr>
              <w:t xml:space="preserve">W1 GO</w:t>
            </w:r>
          </w:p>
        </w:tc>
      </w:tr>
      <w:tr>
        <w:tc>
          <w:tcPr>
            <w:tcW w:type="dxa" w:w="24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Off-site Virtual PPA (Wind/Solar)</w:t>
            </w:r>
          </w:p>
        </w:tc>
        <w:tc>
          <w:tcPr>
            <w:tcW w:type="dxa" w:w="9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2</w:t>
            </w:r>
          </w:p>
        </w:tc>
        <w:tc>
          <w:tcPr>
            <w:tcW w:type="dxa" w:w="154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70,000</w:t>
            </w:r>
          </w:p>
        </w:tc>
        <w:tc>
          <w:tcPr>
            <w:tcW w:type="dxa" w:w="1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$0</w:t>
            </w:r>
          </w:p>
        </w:tc>
        <w:tc>
          <w:tcPr>
            <w:tcW w:type="dxa" w:w="1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$20</w:t>
            </w:r>
          </w:p>
        </w:tc>
        <w:tc>
          <w:tcPr>
            <w:tcW w:type="dxa" w:w="152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7"/>
                <w:szCs w:val="17"/>
              </w:rPr>
              <w:t xml:space="preserve">W2 GO</w:t>
            </w:r>
          </w:p>
        </w:tc>
      </w:tr>
      <w:tr>
        <w:tc>
          <w:tcPr>
            <w:tcW w:type="dxa" w:w="24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Supplier Energy Efficiency Program</w:t>
            </w:r>
          </w:p>
        </w:tc>
        <w:tc>
          <w:tcPr>
            <w:tcW w:type="dxa" w:w="9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3</w:t>
            </w:r>
          </w:p>
        </w:tc>
        <w:tc>
          <w:tcPr>
            <w:tcW w:type="dxa" w:w="154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75,000</w:t>
            </w:r>
          </w:p>
        </w:tc>
        <w:tc>
          <w:tcPr>
            <w:tcW w:type="dxa" w:w="1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$0.5</w:t>
            </w:r>
          </w:p>
        </w:tc>
        <w:tc>
          <w:tcPr>
            <w:tcW w:type="dxa" w:w="1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$25</w:t>
            </w:r>
          </w:p>
        </w:tc>
        <w:tc>
          <w:tcPr>
            <w:tcW w:type="dxa" w:w="152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7"/>
                <w:szCs w:val="17"/>
              </w:rPr>
              <w:t xml:space="preserve">W2 GO</w:t>
            </w:r>
          </w:p>
        </w:tc>
      </w:tr>
      <w:tr>
        <w:tc>
          <w:tcPr>
            <w:tcW w:type="dxa" w:w="24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Bio-based Polymers for Packaging</w:t>
            </w:r>
          </w:p>
        </w:tc>
        <w:tc>
          <w:tcPr>
            <w:tcW w:type="dxa" w:w="9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3</w:t>
            </w:r>
          </w:p>
        </w:tc>
        <w:tc>
          <w:tcPr>
            <w:tcW w:type="dxa" w:w="154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80,000</w:t>
            </w:r>
          </w:p>
        </w:tc>
        <w:tc>
          <w:tcPr>
            <w:tcW w:type="dxa" w:w="1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$0</w:t>
            </w:r>
          </w:p>
        </w:tc>
        <w:tc>
          <w:tcPr>
            <w:tcW w:type="dxa" w:w="1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$55</w:t>
            </w:r>
          </w:p>
        </w:tc>
        <w:tc>
          <w:tcPr>
            <w:tcW w:type="dxa" w:w="152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7"/>
                <w:szCs w:val="17"/>
              </w:rPr>
              <w:t xml:space="preserve">W2 GO</w:t>
            </w:r>
          </w:p>
        </w:tc>
      </w:tr>
      <w:tr>
        <w:tc>
          <w:tcPr>
            <w:tcW w:type="dxa" w:w="24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90% Recycled Aluminium Sourcing</w:t>
            </w:r>
          </w:p>
        </w:tc>
        <w:tc>
          <w:tcPr>
            <w:tcW w:type="dxa" w:w="9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3</w:t>
            </w:r>
          </w:p>
        </w:tc>
        <w:tc>
          <w:tcPr>
            <w:tcW w:type="dxa" w:w="154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140,000</w:t>
            </w:r>
          </w:p>
        </w:tc>
        <w:tc>
          <w:tcPr>
            <w:tcW w:type="dxa" w:w="1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$0</w:t>
            </w:r>
          </w:p>
        </w:tc>
        <w:tc>
          <w:tcPr>
            <w:tcW w:type="dxa" w:w="1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$80</w:t>
            </w:r>
          </w:p>
        </w:tc>
        <w:tc>
          <w:tcPr>
            <w:tcW w:type="dxa" w:w="152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7"/>
                <w:szCs w:val="17"/>
              </w:rPr>
              <w:t xml:space="preserve">W2 GO</w:t>
            </w:r>
          </w:p>
        </w:tc>
      </w:tr>
      <w:tr>
        <w:tc>
          <w:tcPr>
            <w:tcW w:type="dxa" w:w="24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Industrial Heat Pumps</w:t>
            </w:r>
          </w:p>
        </w:tc>
        <w:tc>
          <w:tcPr>
            <w:tcW w:type="dxa" w:w="9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w:t>
            </w:r>
          </w:p>
        </w:tc>
        <w:tc>
          <w:tcPr>
            <w:tcW w:type="dxa" w:w="154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35,000</w:t>
            </w:r>
          </w:p>
        </w:tc>
        <w:tc>
          <w:tcPr>
            <w:tcW w:type="dxa" w:w="1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$6.5</w:t>
            </w:r>
          </w:p>
        </w:tc>
        <w:tc>
          <w:tcPr>
            <w:tcW w:type="dxa" w:w="1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$85</w:t>
            </w:r>
          </w:p>
        </w:tc>
        <w:tc>
          <w:tcPr>
            <w:tcW w:type="dxa" w:w="152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7"/>
                <w:szCs w:val="17"/>
              </w:rPr>
              <w:t xml:space="preserve">W2 GO</w:t>
            </w:r>
          </w:p>
        </w:tc>
      </w:tr>
      <w:tr>
        <w:tc>
          <w:tcPr>
            <w:tcW w:type="dxa" w:w="240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Supplier Renewable Mandate (SBTi)</w:t>
            </w:r>
          </w:p>
        </w:tc>
        <w:tc>
          <w:tcPr>
            <w:tcW w:type="dxa" w:w="90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3</w:t>
            </w:r>
          </w:p>
        </w:tc>
        <w:tc>
          <w:tcPr>
            <w:tcW w:type="dxa" w:w="154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55,000</w:t>
            </w:r>
          </w:p>
        </w:tc>
        <w:tc>
          <w:tcPr>
            <w:tcW w:type="dxa" w:w="100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$0</w:t>
            </w:r>
          </w:p>
        </w:tc>
        <w:tc>
          <w:tcPr>
            <w:tcW w:type="dxa" w:w="100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$100</w:t>
            </w:r>
          </w:p>
        </w:tc>
        <w:tc>
          <w:tcPr>
            <w:tcW w:type="dxa" w:w="152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7"/>
                <w:szCs w:val="17"/>
              </w:rPr>
              <w:t xml:space="preserve">W3 WATCH</w:t>
            </w:r>
          </w:p>
        </w:tc>
      </w:tr>
      <w:tr>
        <w:tc>
          <w:tcPr>
            <w:tcW w:type="dxa" w:w="2400"/>
            <w:tcBorders>
              <w:top w:val="single" w:color="B6B09F" w:sz="1"/>
              <w:left w:val="single" w:color="B6B09F" w:sz="1"/>
              <w:bottom w:val="single" w:color="B6B09F" w:sz="1"/>
              <w:right w:val="single" w:color="B6B09F" w:sz="1"/>
            </w:tcBorders>
            <w:shd w:fill="FFF0F0"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Permanent Carbon Removals (DAC)</w:t>
            </w:r>
          </w:p>
        </w:tc>
        <w:tc>
          <w:tcPr>
            <w:tcW w:type="dxa" w:w="900"/>
            <w:tcBorders>
              <w:top w:val="single" w:color="B6B09F" w:sz="1"/>
              <w:left w:val="single" w:color="B6B09F" w:sz="1"/>
              <w:bottom w:val="single" w:color="B6B09F" w:sz="1"/>
              <w:right w:val="single" w:color="B6B09F" w:sz="1"/>
            </w:tcBorders>
            <w:shd w:fill="FFF0F0"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Rem</w:t>
            </w:r>
          </w:p>
        </w:tc>
        <w:tc>
          <w:tcPr>
            <w:tcW w:type="dxa" w:w="1540"/>
            <w:tcBorders>
              <w:top w:val="single" w:color="B6B09F" w:sz="1"/>
              <w:left w:val="single" w:color="B6B09F" w:sz="1"/>
              <w:bottom w:val="single" w:color="B6B09F" w:sz="1"/>
              <w:right w:val="single" w:color="B6B09F" w:sz="1"/>
            </w:tcBorders>
            <w:shd w:fill="FFF0F0"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458,808</w:t>
            </w:r>
          </w:p>
        </w:tc>
        <w:tc>
          <w:tcPr>
            <w:tcW w:type="dxa" w:w="1000"/>
            <w:tcBorders>
              <w:top w:val="single" w:color="B6B09F" w:sz="1"/>
              <w:left w:val="single" w:color="B6B09F" w:sz="1"/>
              <w:bottom w:val="single" w:color="B6B09F" w:sz="1"/>
              <w:right w:val="single" w:color="B6B09F" w:sz="1"/>
            </w:tcBorders>
            <w:shd w:fill="FFF0F0"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$0</w:t>
            </w:r>
          </w:p>
        </w:tc>
        <w:tc>
          <w:tcPr>
            <w:tcW w:type="dxa" w:w="1000"/>
            <w:tcBorders>
              <w:top w:val="single" w:color="B6B09F" w:sz="1"/>
              <w:left w:val="single" w:color="B6B09F" w:sz="1"/>
              <w:bottom w:val="single" w:color="B6B09F" w:sz="1"/>
              <w:right w:val="single" w:color="B6B09F" w:sz="1"/>
            </w:tcBorders>
            <w:shd w:fill="FFF0F0"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$200</w:t>
            </w:r>
          </w:p>
        </w:tc>
        <w:tc>
          <w:tcPr>
            <w:tcW w:type="dxa" w:w="1520"/>
            <w:tcBorders>
              <w:top w:val="single" w:color="B6B09F" w:sz="1"/>
              <w:left w:val="single" w:color="B6B09F" w:sz="1"/>
              <w:bottom w:val="single" w:color="B6B09F" w:sz="1"/>
              <w:right w:val="single" w:color="B6B09F" w:sz="1"/>
            </w:tcBorders>
            <w:shd w:fill="FFF0F0"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7"/>
                <w:szCs w:val="17"/>
              </w:rPr>
              <w:t xml:space="preserve">W4 LAST RESORT</w:t>
            </w:r>
          </w:p>
        </w:tc>
      </w:tr>
    </w:tbl>
    <w:p>
      <w:pPr>
        <w:spacing w:after="0" w:before="120"/>
      </w:pPr>
      <w:r>
        <w:t xml:space="preserve"/>
      </w:r>
    </w:p>
    <w:p>
      <w:pPr>
        <w:spacing w:after="120" w:before="400"/>
      </w:pPr>
      <w:r>
        <w:rPr>
          <w:rFonts w:ascii="Georgia" w:cs="Georgia" w:eastAsia="Georgia" w:hAnsi="Georgia"/>
          <w:color w:val="000000"/>
          <w:sz w:val="36"/>
          <w:szCs w:val="36"/>
        </w:rPr>
        <w:t xml:space="preserve">5.3  Portfolio Gap Analysis</w:t>
      </w:r>
    </w:p>
    <w:p>
      <w:pPr>
        <w:spacing w:after="80" w:before="60"/>
        <w:jc w:val="left"/>
      </w:pPr>
      <w:r>
        <w:rPr>
          <w:rFonts w:ascii="Arial" w:cs="Arial" w:eastAsia="Arial" w:hAnsi="Arial"/>
          <w:b w:val="false"/>
          <w:bCs w:val="false"/>
          <w:i w:val="false"/>
          <w:iCs w:val="false"/>
          <w:caps w:val="false"/>
          <w:color w:val="000000"/>
          <w:sz w:val="21"/>
          <w:szCs w:val="21"/>
        </w:rPr>
        <w:t xml:space="preserve">Total operational abatement capacity (Waves 1-3): approximately 635,000 tCO2e. Gross carbon debt: 4,588,079 tCO2e. Gap after all levers and full DAC allowance: approximately 3,494,271 tCO2e. This gap requires portfolio expansion. Recommended additional lever categories:</w:t>
      </w:r>
    </w:p>
    <w:p>
      <w:pPr>
        <w:pStyle w:val="ListParagraph"/>
        <w:numPr>
          <w:ilvl w:val="0"/>
          <w:numId w:val="2"/>
        </w:numPr>
        <w:spacing w:after="40" w:before="40"/>
      </w:pPr>
      <w:r>
        <w:rPr>
          <w:rFonts w:ascii="Arial" w:cs="Arial" w:eastAsia="Arial" w:hAnsi="Arial"/>
          <w:color w:val="000000"/>
          <w:sz w:val="21"/>
          <w:szCs w:val="21"/>
        </w:rPr>
        <w:t xml:space="preserve">Product energy efficiency redesign — targeting Cat 11 (320,000 tCO2e). Reduction of charger and battery in-use consumption through design.</w:t>
      </w:r>
    </w:p>
    <w:p>
      <w:pPr>
        <w:pStyle w:val="ListParagraph"/>
        <w:numPr>
          <w:ilvl w:val="0"/>
          <w:numId w:val="2"/>
        </w:numPr>
        <w:spacing w:after="40" w:before="40"/>
      </w:pPr>
      <w:r>
        <w:rPr>
          <w:rFonts w:ascii="Arial" w:cs="Arial" w:eastAsia="Arial" w:hAnsi="Arial"/>
          <w:color w:val="000000"/>
          <w:sz w:val="21"/>
          <w:szCs w:val="21"/>
        </w:rPr>
        <w:t xml:space="preserve">Extended Tier 2 and Tier 3 supplier engagement — targeting Cat 1 emissions not covered by existing recycled aluminium and bio-polymer levers.</w:t>
      </w:r>
    </w:p>
    <w:p>
      <w:pPr>
        <w:pStyle w:val="ListParagraph"/>
        <w:numPr>
          <w:ilvl w:val="0"/>
          <w:numId w:val="2"/>
        </w:numPr>
        <w:spacing w:after="40" w:before="40"/>
      </w:pPr>
      <w:r>
        <w:rPr>
          <w:rFonts w:ascii="Arial" w:cs="Arial" w:eastAsia="Arial" w:hAnsi="Arial"/>
          <w:color w:val="000000"/>
          <w:sz w:val="21"/>
          <w:szCs w:val="21"/>
        </w:rPr>
        <w:t xml:space="preserve">Product take-back and circular economy programme — addressing Cat 12 end-of-life at scale (47,800 tCO2e).</w:t>
      </w:r>
    </w:p>
    <w:p>
      <w:pPr>
        <w:pStyle w:val="ListParagraph"/>
        <w:numPr>
          <w:ilvl w:val="0"/>
          <w:numId w:val="2"/>
        </w:numPr>
        <w:spacing w:after="40" w:before="40"/>
      </w:pPr>
      <w:r>
        <w:rPr>
          <w:rFonts w:ascii="Arial" w:cs="Arial" w:eastAsia="Arial" w:hAnsi="Arial"/>
          <w:color w:val="000000"/>
          <w:sz w:val="21"/>
          <w:szCs w:val="21"/>
        </w:rPr>
        <w:t xml:space="preserve">M&amp;A carbon screening — any acquisition evaluated against footprint and integration into the Net-Zero roadmap.</w:t>
      </w:r>
    </w:p>
    <w:p>
      <w:pPr>
        <w:spacing w:after="0" w:before="120"/>
      </w:pPr>
      <w:r>
        <w:t xml:space="preserve"/>
      </w:r>
    </w:p>
    <w:p>
      <w:pPr>
        <w:spacing w:after="120" w:before="400"/>
      </w:pPr>
      <w:r>
        <w:rPr>
          <w:rFonts w:ascii="Georgia" w:cs="Georgia" w:eastAsia="Georgia" w:hAnsi="Georgia"/>
          <w:color w:val="000000"/>
          <w:sz w:val="36"/>
          <w:szCs w:val="36"/>
        </w:rPr>
        <w:t xml:space="preserve">5.4  Financial Summary</w:t>
      </w:r>
    </w:p>
    <w:p>
      <w:pPr>
        <w:spacing w:after="80" w:before="60"/>
        <w:jc w:val="left"/>
      </w:pPr>
      <w:r>
        <w:rPr>
          <w:rFonts w:ascii="Arial" w:cs="Arial" w:eastAsia="Arial" w:hAnsi="Arial"/>
          <w:b w:val="false"/>
          <w:bCs w:val="false"/>
          <w:i w:val="false"/>
          <w:iCs w:val="false"/>
          <w:caps w:val="false"/>
          <w:color w:val="000000"/>
          <w:sz w:val="21"/>
          <w:szCs w:val="21"/>
        </w:rPr>
        <w:t xml:space="preserve">Wave 1 and 2 approved CAPEX: $23.5M. Annual OPEX savings: $4.47M. Aggregate payback: 5.3 years. DAC liability at full cap: $91.8M. Reducing DAC exposure is the primary financial rationale for accelerating Wave 1.</w:t>
      </w:r>
    </w:p>
    <w:p>
      <w:pPr>
        <w:spacing w:after="0" w:before="200"/>
      </w:pPr>
      <w:r>
        <w:t xml:space="preserve"/>
      </w:r>
    </w:p>
    <w:p>
      <w:pPr>
        <w:pBdr>
          <w:bottom w:val="single" w:color="000000" w:sz="8"/>
        </w:pBdr>
        <w:spacing w:after="160" w:before="480"/>
      </w:pPr>
      <w:r>
        <w:rPr>
          <w:rFonts w:ascii="Georgia" w:cs="Georgia" w:eastAsia="Georgia" w:hAnsi="Georgia"/>
          <w:b/>
          <w:bCs/>
          <w:color w:val="000000"/>
          <w:sz w:val="48"/>
          <w:szCs w:val="48"/>
        </w:rPr>
        <w:t xml:space="preserve">6. Regional Risk &amp; Regulatory Triggers</w:t>
      </w:r>
    </w:p>
    <w:p>
      <w:pPr>
        <w:spacing w:after="80" w:before="60"/>
        <w:jc w:val="left"/>
      </w:pPr>
      <w:r>
        <w:rPr>
          <w:rFonts w:ascii="Arial" w:cs="Arial" w:eastAsia="Arial" w:hAnsi="Arial"/>
          <w:b w:val="false"/>
          <w:bCs w:val="false"/>
          <w:i w:val="false"/>
          <w:iCs w:val="false"/>
          <w:caps w:val="false"/>
          <w:color w:val="000000"/>
          <w:sz w:val="21"/>
          <w:szCs w:val="21"/>
        </w:rPr>
        <w:t xml:space="preserve">Regional modifiers are unchanged in structure. Chennai's 680-tonne stationary diesel load is now explicitly visible in the workbook, confirming grid instability as a material Scope 1 driver.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560"/>
        <w:gridCol w:w="3200"/>
      </w:tblGrid>
      <w:tr>
        <w:trPr>
          <w:tblHeader/>
        </w:trPr>
        <w:tc>
          <w:tcPr>
            <w:tcW w:type="dxa" w:w="18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5"/>
                <w:szCs w:val="15"/>
              </w:rPr>
              <w:t xml:space="preserve">Facility</w:t>
            </w:r>
          </w:p>
        </w:tc>
        <w:tc>
          <w:tcPr>
            <w:tcW w:type="dxa" w:w="18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5"/>
                <w:szCs w:val="15"/>
              </w:rPr>
              <w:t xml:space="preserve">Regulation</w:t>
            </w:r>
          </w:p>
        </w:tc>
        <w:tc>
          <w:tcPr>
            <w:tcW w:type="dxa" w:w="25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5"/>
                <w:szCs w:val="15"/>
              </w:rPr>
              <w:t xml:space="preserve">Financial Impact</w:t>
            </w:r>
          </w:p>
        </w:tc>
        <w:tc>
          <w:tcPr>
            <w:tcW w:type="dxa" w:w="32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5"/>
                <w:szCs w:val="15"/>
              </w:rPr>
              <w:t xml:space="preserve">Response Required</w:t>
            </w:r>
          </w:p>
        </w:tc>
      </w:tr>
      <w:tr>
        <w:tc>
          <w:tcPr>
            <w:tcW w:type="dxa" w:w="18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Wroclaw Precision</w:t>
            </w:r>
          </w:p>
        </w:tc>
        <w:tc>
          <w:tcPr>
            <w:tcW w:type="dxa" w:w="18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EU CBAM</w:t>
            </w:r>
          </w:p>
        </w:tc>
        <w:tc>
          <w:tcPr>
            <w:tcW w:type="dxa" w:w="25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$80/t on embodied carbon exported to EU</w:t>
            </w:r>
          </w:p>
        </w:tc>
        <w:tc>
          <w:tcPr>
            <w:tcW w:type="dxa" w:w="32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Accelerate aluminium circularity to Wave 1.</w:t>
            </w:r>
          </w:p>
        </w:tc>
      </w:tr>
      <w:tr>
        <w:tc>
          <w:tcPr>
            <w:tcW w:type="dxa" w:w="18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Chennai Circuitry</w:t>
            </w:r>
          </w:p>
        </w:tc>
        <w:tc>
          <w:tcPr>
            <w:tcW w:type="dxa" w:w="18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India RPO 2030</w:t>
            </w:r>
          </w:p>
        </w:tc>
        <w:tc>
          <w:tcPr>
            <w:tcW w:type="dxa" w:w="25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25% renewable electricity by 2030</w:t>
            </w:r>
          </w:p>
        </w:tc>
        <w:tc>
          <w:tcPr>
            <w:tcW w:type="dxa" w:w="32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Solar PV is non-discretionary. Deploy by 2028.</w:t>
            </w:r>
          </w:p>
        </w:tc>
      </w:tr>
      <w:tr>
        <w:tc>
          <w:tcPr>
            <w:tcW w:type="dxa" w:w="18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Hanoi Hub</w:t>
            </w:r>
          </w:p>
        </w:tc>
        <w:tc>
          <w:tcPr>
            <w:tcW w:type="dxa" w:w="18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Grid Instability</w:t>
            </w:r>
          </w:p>
        </w:tc>
        <w:tc>
          <w:tcPr>
            <w:tcW w:type="dxa" w:w="25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680t diesel on record — 1,822 tCO2e Scope 1</w:t>
            </w:r>
          </w:p>
        </w:tc>
        <w:tc>
          <w:tcPr>
            <w:tcW w:type="dxa" w:w="32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Battery storage before further electrification.</w:t>
            </w:r>
          </w:p>
        </w:tc>
      </w:tr>
      <w:tr>
        <w:tc>
          <w:tcPr>
            <w:tcW w:type="dxa" w:w="18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Guadalajara</w:t>
            </w:r>
          </w:p>
        </w:tc>
        <w:tc>
          <w:tcPr>
            <w:tcW w:type="dxa" w:w="18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High Solar IRR</w:t>
            </w:r>
          </w:p>
        </w:tc>
        <w:tc>
          <w:tcPr>
            <w:tcW w:type="dxa" w:w="25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18% irradiance premium above global average</w:t>
            </w:r>
          </w:p>
        </w:tc>
        <w:tc>
          <w:tcPr>
            <w:tcW w:type="dxa" w:w="32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7"/>
                <w:szCs w:val="17"/>
              </w:rPr>
              <w:t xml:space="preserve">Priority site for Wave 1 rooftop solar.</w:t>
            </w:r>
          </w:p>
        </w:tc>
      </w:tr>
    </w:tbl>
    <w:p>
      <w:pPr>
        <w:spacing w:after="0" w:before="200"/>
      </w:pPr>
      <w:r>
        <w:t xml:space="preserve"/>
      </w:r>
    </w:p>
    <w:p>
      <w:pPr>
        <w:pBdr>
          <w:bottom w:val="single" w:color="000000" w:sz="8"/>
        </w:pBdr>
        <w:spacing w:after="160" w:before="480"/>
      </w:pPr>
      <w:r>
        <w:rPr>
          <w:rFonts w:ascii="Georgia" w:cs="Georgia" w:eastAsia="Georgia" w:hAnsi="Georgia"/>
          <w:b/>
          <w:bCs/>
          <w:color w:val="000000"/>
          <w:sz w:val="48"/>
          <w:szCs w:val="48"/>
        </w:rPr>
        <w:t xml:space="preserve">7. SBTi Compliance Guardrails</w:t>
      </w:r>
    </w:p>
    <w:p>
      <w:pPr>
        <w:spacing w:after="120" w:before="400"/>
      </w:pPr>
      <w:r>
        <w:rPr>
          <w:rFonts w:ascii="Georgia" w:cs="Georgia" w:eastAsia="Georgia" w:hAnsi="Georgia"/>
          <w:color w:val="000000"/>
          <w:sz w:val="36"/>
          <w:szCs w:val="36"/>
        </w:rPr>
        <w:t xml:space="preserve">7.1  Revised 10% Removals Cap</w:t>
      </w:r>
    </w:p>
    <w:p>
      <w:pPr>
        <w:spacing w:after="80" w:before="60"/>
        <w:jc w:val="left"/>
      </w:pPr>
      <w:r>
        <w:rPr>
          <w:rFonts w:ascii="Arial" w:cs="Arial" w:eastAsia="Arial" w:hAnsi="Arial"/>
          <w:b w:val="false"/>
          <w:bCs w:val="false"/>
          <w:i w:val="false"/>
          <w:iCs w:val="false"/>
          <w:caps w:val="false"/>
          <w:color w:val="000000"/>
          <w:sz w:val="21"/>
          <w:szCs w:val="21"/>
        </w:rPr>
        <w:t xml:space="preserve">The SBTi removals cap is now 458,808 tCO2e, up from 195,700 in the prior document. Financial liability at the cap: $91.8M. This must be reflected in long-range financial planning.</w:t>
      </w:r>
    </w:p>
    <w:p>
      <w:pPr>
        <w:shd w:fill="000000" w:val="clear"/>
        <w:spacing w:after="0" w:before="0"/>
        <w:ind w:left="160" w:right="160"/>
      </w:pPr>
      <w:r>
        <w:rPr>
          <w:rFonts w:ascii="Arial" w:cs="Arial" w:eastAsia="Arial" w:hAnsi="Arial"/>
          <w:b/>
          <w:bCs/>
          <w:caps/>
          <w:color w:val="C8F135"/>
          <w:sz w:val="19"/>
          <w:szCs w:val="19"/>
        </w:rPr>
        <w:t xml:space="preserve">COMPLIANCE RULE: Removals &gt; 458,808 tCO2e triggers Portfolio Review. Board approval required before any DAC contract is executed.</w:t>
      </w:r>
    </w:p>
    <w:p>
      <w:pPr>
        <w:spacing w:after="0" w:before="120"/>
      </w:pPr>
      <w:r>
        <w:t xml:space="preserve"/>
      </w:r>
    </w:p>
    <w:p>
      <w:pPr>
        <w:spacing w:after="120" w:before="400"/>
      </w:pPr>
      <w:r>
        <w:rPr>
          <w:rFonts w:ascii="Georgia" w:cs="Georgia" w:eastAsia="Georgia" w:hAnsi="Georgia"/>
          <w:color w:val="000000"/>
          <w:sz w:val="36"/>
          <w:szCs w:val="36"/>
        </w:rPr>
        <w:t xml:space="preserve">7.2  2030 Interim Target — Revised</w:t>
      </w:r>
    </w:p>
    <w:p>
      <w:pPr>
        <w:spacing w:after="80" w:before="60"/>
        <w:jc w:val="left"/>
      </w:pPr>
      <w:r>
        <w:rPr>
          <w:rFonts w:ascii="Arial" w:cs="Arial" w:eastAsia="Arial" w:hAnsi="Arial"/>
          <w:b w:val="false"/>
          <w:bCs w:val="false"/>
          <w:i w:val="false"/>
          <w:iCs w:val="false"/>
          <w:caps w:val="false"/>
          <w:color w:val="000000"/>
          <w:sz w:val="21"/>
          <w:szCs w:val="21"/>
        </w:rPr>
        <w:t xml:space="preserve">The 2030 SBTi mandatory target is now 784,217 tCO2e (50% of 1,568,434 tCO2e market-based baseline). This replaces the prior figure of 337,750 tCO2e. The absolute reduction required by 2030 — 784,217 tCO2e — exceeds the entire current approved lever portfolio. Reaching this target requires full Wave 1 deployment plus material Wave 2 acceleration, alongside estimated grid decarbonisation contribution of approximately 120,000 tCO2e from passive national grid improvement.</w:t>
      </w:r>
    </w:p>
    <w:p>
      <w:pPr>
        <w:spacing w:after="120" w:before="400"/>
      </w:pPr>
      <w:r>
        <w:rPr>
          <w:rFonts w:ascii="Georgia" w:cs="Georgia" w:eastAsia="Georgia" w:hAnsi="Georgia"/>
          <w:color w:val="000000"/>
          <w:sz w:val="36"/>
          <w:szCs w:val="36"/>
        </w:rPr>
        <w:t xml:space="preserve">7.3  Scope 2 Method Consistency</w:t>
      </w:r>
    </w:p>
    <w:p>
      <w:pPr>
        <w:spacing w:after="80" w:before="60"/>
        <w:jc w:val="left"/>
      </w:pPr>
      <w:r>
        <w:rPr>
          <w:rFonts w:ascii="Arial" w:cs="Arial" w:eastAsia="Arial" w:hAnsi="Arial"/>
          <w:b w:val="false"/>
          <w:bCs w:val="false"/>
          <w:i w:val="false"/>
          <w:iCs w:val="false"/>
          <w:caps w:val="false"/>
          <w:color w:val="000000"/>
          <w:sz w:val="21"/>
          <w:szCs w:val="21"/>
        </w:rPr>
        <w:t xml:space="preserve">The workbook confirms both LB and MB Scope 2 calculations. MB is applied as primary for SBTi reporting. The 49,000 MWh of existing renewable coverage (16.6%) must be preserved and expanded. All PPA and REC contracts require active documentation. Wave 1 solar deployment targets Chennai and Hanoi — the two sites with the lowest existing renewable percentage (9.8% and 13.8% respectively).</w:t>
      </w:r>
    </w:p>
    <w:p>
      <w:pPr>
        <w:spacing w:after="0" w:before="200"/>
      </w:pPr>
      <w:r>
        <w:t xml:space="preserve"/>
      </w:r>
    </w:p>
    <w:p>
      <w:pPr>
        <w:pBdr>
          <w:bottom w:val="single" w:color="000000" w:sz="8"/>
        </w:pBdr>
        <w:spacing w:after="160" w:before="480"/>
      </w:pPr>
      <w:r>
        <w:rPr>
          <w:rFonts w:ascii="Georgia" w:cs="Georgia" w:eastAsia="Georgia" w:hAnsi="Georgia"/>
          <w:b/>
          <w:bCs/>
          <w:color w:val="000000"/>
          <w:sz w:val="48"/>
          <w:szCs w:val="48"/>
        </w:rPr>
        <w:t xml:space="preserve">8. Governance &amp; Accountability</w:t>
      </w:r>
    </w:p>
    <w:p>
      <w:pPr>
        <w:spacing w:after="120" w:before="400"/>
      </w:pPr>
      <w:r>
        <w:rPr>
          <w:rFonts w:ascii="Georgia" w:cs="Georgia" w:eastAsia="Georgia" w:hAnsi="Georgia"/>
          <w:color w:val="000000"/>
          <w:sz w:val="36"/>
          <w:szCs w:val="36"/>
        </w:rPr>
        <w:t xml:space="preserve">8.1  Target Ownership</w:t>
      </w:r>
    </w:p>
    <w:p>
      <w:pPr>
        <w:pStyle w:val="ListParagraph"/>
        <w:numPr>
          <w:ilvl w:val="0"/>
          <w:numId w:val="2"/>
        </w:numPr>
        <w:spacing w:after="40" w:before="40"/>
      </w:pPr>
      <w:r>
        <w:rPr>
          <w:rFonts w:ascii="Arial" w:cs="Arial" w:eastAsia="Arial" w:hAnsi="Arial"/>
          <w:color w:val="000000"/>
          <w:sz w:val="21"/>
          <w:szCs w:val="21"/>
        </w:rPr>
        <w:t xml:space="preserve">Chief Sustainability Officer: overall target ownership, annual reporting, SBTi compliance certification.</w:t>
      </w:r>
    </w:p>
    <w:p>
      <w:pPr>
        <w:pStyle w:val="ListParagraph"/>
        <w:numPr>
          <w:ilvl w:val="0"/>
          <w:numId w:val="2"/>
        </w:numPr>
        <w:spacing w:after="40" w:before="40"/>
      </w:pPr>
      <w:r>
        <w:rPr>
          <w:rFonts w:ascii="Arial" w:cs="Arial" w:eastAsia="Arial" w:hAnsi="Arial"/>
          <w:color w:val="000000"/>
          <w:sz w:val="21"/>
          <w:szCs w:val="21"/>
        </w:rPr>
        <w:t xml:space="preserve">Chief Financial Officer: CAPEX approval, DAC liability provisioning ($91.8M ceiling), shadow price governance.</w:t>
      </w:r>
    </w:p>
    <w:p>
      <w:pPr>
        <w:pStyle w:val="ListParagraph"/>
        <w:numPr>
          <w:ilvl w:val="0"/>
          <w:numId w:val="2"/>
        </w:numPr>
        <w:spacing w:after="40" w:before="40"/>
      </w:pPr>
      <w:r>
        <w:rPr>
          <w:rFonts w:ascii="Arial" w:cs="Arial" w:eastAsia="Arial" w:hAnsi="Arial"/>
          <w:color w:val="000000"/>
          <w:sz w:val="21"/>
          <w:szCs w:val="21"/>
        </w:rPr>
        <w:t xml:space="preserve">Chief Operating Officer: facility-level deployment, milestone delivery, contractor management.</w:t>
      </w:r>
    </w:p>
    <w:p>
      <w:pPr>
        <w:pStyle w:val="ListParagraph"/>
        <w:numPr>
          <w:ilvl w:val="0"/>
          <w:numId w:val="2"/>
        </w:numPr>
        <w:spacing w:after="40" w:before="40"/>
      </w:pPr>
      <w:r>
        <w:rPr>
          <w:rFonts w:ascii="Arial" w:cs="Arial" w:eastAsia="Arial" w:hAnsi="Arial"/>
          <w:color w:val="000000"/>
          <w:sz w:val="21"/>
          <w:szCs w:val="21"/>
        </w:rPr>
        <w:t xml:space="preserve">VP Procurement: Scope 3 lever execution — Cat 1 and Cat 4 primary focus. Supplier engagement and annual MAC monitoring.</w:t>
      </w:r>
    </w:p>
    <w:p>
      <w:pPr>
        <w:spacing w:after="0" w:before="80"/>
      </w:pPr>
      <w:r>
        <w:t xml:space="preserve"/>
      </w:r>
    </w:p>
    <w:p>
      <w:pPr>
        <w:spacing w:after="120" w:before="400"/>
      </w:pPr>
      <w:r>
        <w:rPr>
          <w:rFonts w:ascii="Georgia" w:cs="Georgia" w:eastAsia="Georgia" w:hAnsi="Georgia"/>
          <w:color w:val="000000"/>
          <w:sz w:val="36"/>
          <w:szCs w:val="36"/>
        </w:rPr>
        <w:t xml:space="preserve">8.2  Review Cadence</w:t>
      </w:r>
    </w:p>
    <w:p>
      <w:pPr>
        <w:pStyle w:val="ListParagraph"/>
        <w:numPr>
          <w:ilvl w:val="0"/>
          <w:numId w:val="2"/>
        </w:numPr>
        <w:spacing w:after="40" w:before="40"/>
      </w:pPr>
      <w:r>
        <w:rPr>
          <w:rFonts w:ascii="Arial" w:cs="Arial" w:eastAsia="Arial" w:hAnsi="Arial"/>
          <w:color w:val="000000"/>
          <w:sz w:val="21"/>
          <w:szCs w:val="21"/>
        </w:rPr>
        <w:t xml:space="preserve">Annual: Full emissions inventory across all 5 facilities and 15 Scope 3 categories. YoY progress vs targets.</w:t>
      </w:r>
    </w:p>
    <w:p>
      <w:pPr>
        <w:pStyle w:val="ListParagraph"/>
        <w:numPr>
          <w:ilvl w:val="0"/>
          <w:numId w:val="2"/>
        </w:numPr>
        <w:spacing w:after="40" w:before="40"/>
      </w:pPr>
      <w:r>
        <w:rPr>
          <w:rFonts w:ascii="Arial" w:cs="Arial" w:eastAsia="Arial" w:hAnsi="Arial"/>
          <w:color w:val="000000"/>
          <w:sz w:val="21"/>
          <w:szCs w:val="21"/>
        </w:rPr>
        <w:t xml:space="preserve">Biennial: Portfolio rebalancing, growth rate review, MAC recalibration, DAC liability update.</w:t>
      </w:r>
    </w:p>
    <w:p>
      <w:pPr>
        <w:pStyle w:val="ListParagraph"/>
        <w:numPr>
          <w:ilvl w:val="0"/>
          <w:numId w:val="2"/>
        </w:numPr>
        <w:spacing w:after="40" w:before="40"/>
      </w:pPr>
      <w:r>
        <w:rPr>
          <w:rFonts w:ascii="Arial" w:cs="Arial" w:eastAsia="Arial" w:hAnsi="Arial"/>
          <w:color w:val="000000"/>
          <w:sz w:val="21"/>
          <w:szCs w:val="21"/>
        </w:rPr>
        <w:t xml:space="preserve">2030: External SBTi verification. Target: 784,217 tCO2e. Board ratification required.</w:t>
      </w:r>
    </w:p>
    <w:p>
      <w:pPr>
        <w:pStyle w:val="ListParagraph"/>
        <w:numPr>
          <w:ilvl w:val="0"/>
          <w:numId w:val="2"/>
        </w:numPr>
        <w:spacing w:after="40" w:before="40"/>
      </w:pPr>
      <w:r>
        <w:rPr>
          <w:rFonts w:ascii="Arial" w:cs="Arial" w:eastAsia="Arial" w:hAnsi="Arial"/>
          <w:color w:val="000000"/>
          <w:sz w:val="21"/>
          <w:szCs w:val="21"/>
        </w:rPr>
        <w:t xml:space="preserve">2040: Wave 4 activation review. Board approval required before any DAC contract is executed.</w:t>
      </w:r>
    </w:p>
    <w:p>
      <w:pPr>
        <w:spacing w:after="0" w:before="80"/>
      </w:pPr>
      <w:r>
        <w:t xml:space="preserve"/>
      </w:r>
    </w:p>
    <w:p>
      <w:pPr>
        <w:spacing w:after="120" w:before="400"/>
      </w:pPr>
      <w:r>
        <w:rPr>
          <w:rFonts w:ascii="Georgia" w:cs="Georgia" w:eastAsia="Georgia" w:hAnsi="Georgia"/>
          <w:color w:val="000000"/>
          <w:sz w:val="36"/>
          <w:szCs w:val="36"/>
        </w:rPr>
        <w:t xml:space="preserve">8.3  Escalation Protocol</w:t>
      </w:r>
    </w:p>
    <w:p>
      <w:pPr>
        <w:spacing w:after="80" w:before="60"/>
        <w:jc w:val="left"/>
      </w:pPr>
      <w:r>
        <w:rPr>
          <w:rFonts w:ascii="Arial" w:cs="Arial" w:eastAsia="Arial" w:hAnsi="Arial"/>
          <w:b w:val="false"/>
          <w:bCs w:val="false"/>
          <w:i w:val="false"/>
          <w:iCs w:val="false"/>
          <w:caps w:val="false"/>
          <w:color w:val="000000"/>
          <w:sz w:val="21"/>
          <w:szCs w:val="21"/>
        </w:rPr>
        <w:t xml:space="preserve">If any facility misses its annual abatement target by more than 15%, the COO presents a remediation plan to the CSO within 60 days. If cumulative portfolio performance falls more than 8% behind the milestone schedule, an emergency review convenes within 30 days. Growth above 7% p.a. for 3 consecutive years triggers automatic portfolio expansion review within 90 days.</w:t>
      </w:r>
    </w:p>
    <w:p>
      <w:pPr>
        <w:spacing w:after="0" w:before="200"/>
      </w:pPr>
      <w:r>
        <w:t xml:space="preserve"/>
      </w:r>
    </w:p>
    <w:p>
      <w:pPr>
        <w:pBdr>
          <w:bottom w:val="single" w:color="000000" w:sz="8"/>
        </w:pBdr>
        <w:spacing w:after="160" w:before="480"/>
      </w:pPr>
      <w:r>
        <w:rPr>
          <w:rFonts w:ascii="Georgia" w:cs="Georgia" w:eastAsia="Georgia" w:hAnsi="Georgia"/>
          <w:b/>
          <w:bCs/>
          <w:color w:val="000000"/>
          <w:sz w:val="48"/>
          <w:szCs w:val="48"/>
        </w:rPr>
        <w:t xml:space="preserve">9. Data Reconciliation</w:t>
      </w:r>
    </w:p>
    <w:p>
      <w:pPr>
        <w:spacing w:after="80" w:before="60"/>
        <w:jc w:val="left"/>
      </w:pPr>
      <w:r>
        <w:rPr>
          <w:rFonts w:ascii="Arial" w:cs="Arial" w:eastAsia="Arial" w:hAnsi="Arial"/>
          <w:b w:val="false"/>
          <w:bCs w:val="false"/>
          <w:i w:val="false"/>
          <w:iCs w:val="false"/>
          <w:caps w:val="false"/>
          <w:color w:val="000000"/>
          <w:sz w:val="21"/>
          <w:szCs w:val="21"/>
        </w:rPr>
        <w:t xml:space="preserve">This section documents all differences between the prior strategy document (7 May 2026) and this revised version, and the resolution applied in each case. The workbook is the master data source for all future versions of this document.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rPr>
          <w:tblHeader/>
        </w:trPr>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5"/>
                <w:szCs w:val="15"/>
              </w:rPr>
              <w:t xml:space="preserve">Field</w:t>
            </w:r>
          </w:p>
        </w:tc>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5"/>
                <w:szCs w:val="15"/>
              </w:rPr>
              <w:t xml:space="preserve">Prior Document</w:t>
            </w:r>
          </w:p>
        </w:tc>
        <w:tc>
          <w:tcPr>
            <w:tcW w:type="dxa" w:w="22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5"/>
                <w:szCs w:val="15"/>
              </w:rPr>
              <w:t xml:space="preserve">Workbook (Master)</w:t>
            </w:r>
          </w:p>
        </w:tc>
        <w:tc>
          <w:tcPr>
            <w:tcW w:type="dxa" w:w="31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color w:val="B6B09F"/>
                <w:sz w:val="15"/>
                <w:szCs w:val="15"/>
              </w:rPr>
              <w:t xml:space="preserve">Resolution</w:t>
            </w:r>
          </w:p>
        </w:tc>
      </w:tr>
      <w:tr>
        <w:tc>
          <w:tcPr>
            <w:tcW w:type="dxa" w:w="2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Total S1+S2 (LB)</w:t>
            </w:r>
          </w:p>
        </w:tc>
        <w:tc>
          <w:tcPr>
            <w:tcW w:type="dxa" w:w="2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190,500 tCO2e</w:t>
            </w:r>
          </w:p>
        </w:tc>
        <w:tc>
          <w:tcPr>
            <w:tcW w:type="dxa" w:w="22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193,663 tCO2e</w:t>
            </w:r>
          </w:p>
        </w:tc>
        <w:tc>
          <w:tcPr>
            <w:tcW w:type="dxa" w:w="31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Workbook adopted. +3,163 difference within audit tolerance; diesel and mobile combustion now itemised per facility.</w:t>
            </w:r>
          </w:p>
        </w:tc>
      </w:tr>
      <w:tr>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Total S1+S2 (MB)</w:t>
            </w:r>
          </w:p>
        </w:tc>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190,500 tCO2e</w:t>
            </w:r>
          </w:p>
        </w:tc>
        <w:tc>
          <w:tcPr>
            <w:tcW w:type="dxa" w:w="22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166,874 tCO2e</w:t>
            </w:r>
          </w:p>
        </w:tc>
        <w:tc>
          <w:tcPr>
            <w:tcW w:type="dxa" w:w="31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Workbook adopted. Prior doc did not apply MB method. MB is now primary for SBTi reporting.</w:t>
            </w:r>
          </w:p>
        </w:tc>
      </w:tr>
      <w:tr>
        <w:tc>
          <w:tcPr>
            <w:tcW w:type="dxa" w:w="2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Total Scope 3</w:t>
            </w:r>
          </w:p>
        </w:tc>
        <w:tc>
          <w:tcPr>
            <w:tcW w:type="dxa" w:w="2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485,000 tCO2e</w:t>
            </w:r>
          </w:p>
        </w:tc>
        <w:tc>
          <w:tcPr>
            <w:tcW w:type="dxa" w:w="22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1,401,560 tCO2e</w:t>
            </w:r>
          </w:p>
        </w:tc>
        <w:tc>
          <w:tcPr>
            <w:tcW w:type="dxa" w:w="31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Workbook adopted. Prior doc used 6 aggregated categories. Full 15-cat GHG Protocol now applied.</w:t>
            </w:r>
          </w:p>
        </w:tc>
      </w:tr>
      <w:tr>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Total Baseline</w:t>
            </w:r>
          </w:p>
        </w:tc>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675,500 tCO2e</w:t>
            </w:r>
          </w:p>
        </w:tc>
        <w:tc>
          <w:tcPr>
            <w:tcW w:type="dxa" w:w="22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1,568,434 tCO2e</w:t>
            </w:r>
          </w:p>
        </w:tc>
        <w:tc>
          <w:tcPr>
            <w:tcW w:type="dxa" w:w="31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Workbook adopted (MB). 2.32x higher; driven by Scope 3 reclassification.</w:t>
            </w:r>
          </w:p>
        </w:tc>
      </w:tr>
      <w:tr>
        <w:tc>
          <w:tcPr>
            <w:tcW w:type="dxa" w:w="2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2030 SBTi Target</w:t>
            </w:r>
          </w:p>
        </w:tc>
        <w:tc>
          <w:tcPr>
            <w:tcW w:type="dxa" w:w="2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337,750 tCO2e</w:t>
            </w:r>
          </w:p>
        </w:tc>
        <w:tc>
          <w:tcPr>
            <w:tcW w:type="dxa" w:w="22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784,217 tCO2e</w:t>
            </w:r>
          </w:p>
        </w:tc>
        <w:tc>
          <w:tcPr>
            <w:tcW w:type="dxa" w:w="31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Recalculated at 50% of revised MB baseline.</w:t>
            </w:r>
          </w:p>
        </w:tc>
      </w:tr>
      <w:tr>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DAC Removals Cap</w:t>
            </w:r>
          </w:p>
        </w:tc>
        <w:tc>
          <w:tcPr>
            <w:tcW w:type="dxa" w:w="20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195,700 tCO2e</w:t>
            </w:r>
          </w:p>
        </w:tc>
        <w:tc>
          <w:tcPr>
            <w:tcW w:type="dxa" w:w="22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458,808 tCO2e</w:t>
            </w:r>
          </w:p>
        </w:tc>
        <w:tc>
          <w:tcPr>
            <w:tcW w:type="dxa" w:w="31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Recalculated at 10% of revised gross carbon debt (4,588,079 tCO2e).</w:t>
            </w:r>
          </w:p>
        </w:tc>
      </w:tr>
      <w:tr>
        <w:tc>
          <w:tcPr>
            <w:tcW w:type="dxa" w:w="2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Gross Carbon Debt</w:t>
            </w:r>
          </w:p>
        </w:tc>
        <w:tc>
          <w:tcPr>
            <w:tcW w:type="dxa" w:w="20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~1,957,000 tCO2e</w:t>
            </w:r>
          </w:p>
        </w:tc>
        <w:tc>
          <w:tcPr>
            <w:tcW w:type="dxa" w:w="220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4,588,079 tCO2e</w:t>
            </w:r>
          </w:p>
        </w:tc>
        <w:tc>
          <w:tcPr>
            <w:tcW w:type="dxa" w:w="31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6"/>
                <w:szCs w:val="16"/>
              </w:rPr>
              <w:t xml:space="preserve">Recalculated from revised MB baseline at 5% growth over 22 years.</w:t>
            </w:r>
          </w:p>
        </w:tc>
      </w:tr>
    </w:tbl>
    <w:p>
      <w:pPr>
        <w:spacing w:after="0" w:before="200"/>
      </w:pPr>
      <w:r>
        <w:t xml:space="preserve"/>
      </w:r>
    </w:p>
    <w:p>
      <w:pPr>
        <w:pBdr>
          <w:bottom w:val="single" w:color="000000" w:sz="8"/>
        </w:pBdr>
        <w:spacing w:after="160" w:before="480"/>
      </w:pPr>
      <w:r>
        <w:rPr>
          <w:rFonts w:ascii="Georgia" w:cs="Georgia" w:eastAsia="Georgia" w:hAnsi="Georgia"/>
          <w:b/>
          <w:bCs/>
          <w:color w:val="000000"/>
          <w:sz w:val="48"/>
          <w:szCs w:val="48"/>
        </w:rPr>
        <w:t xml:space="preserve">10. Glossary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DAC</w:t>
            </w:r>
          </w:p>
        </w:tc>
        <w:tc>
          <w:tcPr>
            <w:tcW w:type="dxa" w:w="69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Direct Air Capture. Removes CO2 directly from the atmosphere and stores it permanently.</w:t>
            </w:r>
          </w:p>
        </w:tc>
      </w:tr>
      <w:tr>
        <w:tc>
          <w:tcPr>
            <w:tcW w:type="dxa" w:w="24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Location-Based S2</w:t>
            </w:r>
          </w:p>
        </w:tc>
        <w:tc>
          <w:tcPr>
            <w:tcW w:type="dxa" w:w="69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Scope 2 calculated using national grid emission factors. The higher, more conservative figure.</w:t>
            </w:r>
          </w:p>
        </w:tc>
      </w:tr>
      <w:tr>
        <w:tc>
          <w:tcPr>
            <w:tcW w:type="dxa" w:w="240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Market-Based S2</w:t>
            </w:r>
          </w:p>
        </w:tc>
        <w:tc>
          <w:tcPr>
            <w:tcW w:type="dxa" w:w="69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Scope 2 calculated using actual PPAs and RECs. PPA-covered electricity = 0 tCO2e/MWh.</w:t>
            </w:r>
          </w:p>
        </w:tc>
      </w:tr>
      <w:tr>
        <w:tc>
          <w:tcPr>
            <w:tcW w:type="dxa" w:w="24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CAPEX</w:t>
            </w:r>
          </w:p>
        </w:tc>
        <w:tc>
          <w:tcPr>
            <w:tcW w:type="dxa" w:w="69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Capital expenditure. Upfront investment cost.</w:t>
            </w:r>
          </w:p>
        </w:tc>
      </w:tr>
      <w:tr>
        <w:tc>
          <w:tcPr>
            <w:tcW w:type="dxa" w:w="240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MAC</w:t>
            </w:r>
          </w:p>
        </w:tc>
        <w:tc>
          <w:tcPr>
            <w:tcW w:type="dxa" w:w="69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Marginal Abatement Cost. Net cost (or saving) per tonne abated. Negative = saves money.</w:t>
            </w:r>
          </w:p>
        </w:tc>
      </w:tr>
      <w:tr>
        <w:tc>
          <w:tcPr>
            <w:tcW w:type="dxa" w:w="24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SBTi</w:t>
            </w:r>
          </w:p>
        </w:tc>
        <w:tc>
          <w:tcPr>
            <w:tcW w:type="dxa" w:w="69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Science Based Targets initiative. Certifies corporate targets as aligned with the Paris Agreement.</w:t>
            </w:r>
          </w:p>
        </w:tc>
      </w:tr>
      <w:tr>
        <w:tc>
          <w:tcPr>
            <w:tcW w:type="dxa" w:w="240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Shadow Carbon Price</w:t>
            </w:r>
          </w:p>
        </w:tc>
        <w:tc>
          <w:tcPr>
            <w:tcW w:type="dxa" w:w="69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Internal financial value ($100/t) applied to emissions for investment decisions. Not a regulatory tax.</w:t>
            </w:r>
          </w:p>
        </w:tc>
      </w:tr>
      <w:tr>
        <w:tc>
          <w:tcPr>
            <w:tcW w:type="dxa" w:w="24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Scope 1</w:t>
            </w:r>
          </w:p>
        </w:tc>
        <w:tc>
          <w:tcPr>
            <w:tcW w:type="dxa" w:w="69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Direct emissions from owned sources: combustion, process heat, company vehicles.</w:t>
            </w:r>
          </w:p>
        </w:tc>
      </w:tr>
      <w:tr>
        <w:tc>
          <w:tcPr>
            <w:tcW w:type="dxa" w:w="240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Scope 2</w:t>
            </w:r>
          </w:p>
        </w:tc>
        <w:tc>
          <w:tcPr>
            <w:tcW w:type="dxa" w:w="69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Indirect emissions from purchased electricity, heat, or steam.</w:t>
            </w:r>
          </w:p>
        </w:tc>
      </w:tr>
      <w:tr>
        <w:tc>
          <w:tcPr>
            <w:tcW w:type="dxa" w:w="24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Scope 3</w:t>
            </w:r>
          </w:p>
        </w:tc>
        <w:tc>
          <w:tcPr>
            <w:tcW w:type="dxa" w:w="69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All other indirect emissions across 15 GHG Protocol categories.</w:t>
            </w:r>
          </w:p>
        </w:tc>
      </w:tr>
      <w:tr>
        <w:tc>
          <w:tcPr>
            <w:tcW w:type="dxa" w:w="240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tCO2e</w:t>
            </w:r>
          </w:p>
        </w:tc>
        <w:tc>
          <w:tcPr>
            <w:tcW w:type="dxa" w:w="69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Tonnes of CO2 equivalent. Normalises all greenhouse gases to their CO2 warming potential.</w:t>
            </w:r>
          </w:p>
        </w:tc>
      </w:tr>
      <w:tr>
        <w:tc>
          <w:tcPr>
            <w:tcW w:type="dxa" w:w="24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CBAM</w:t>
            </w:r>
          </w:p>
        </w:tc>
        <w:tc>
          <w:tcPr>
            <w:tcW w:type="dxa" w:w="69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Carbon Border Adjustment Mechanism. EU levy on high-embodied-carbon imports.</w:t>
            </w:r>
          </w:p>
        </w:tc>
      </w:tr>
      <w:tr>
        <w:tc>
          <w:tcPr>
            <w:tcW w:type="dxa" w:w="240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PPA</w:t>
            </w:r>
          </w:p>
        </w:tc>
        <w:tc>
          <w:tcPr>
            <w:tcW w:type="dxa" w:w="69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Power Purchase Agreement. Long-term contract to buy electricity from a renewable generator.</w:t>
            </w:r>
          </w:p>
        </w:tc>
      </w:tr>
      <w:tr>
        <w:tc>
          <w:tcPr>
            <w:tcW w:type="dxa" w:w="240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RPO</w:t>
            </w:r>
          </w:p>
        </w:tc>
        <w:tc>
          <w:tcPr>
            <w:tcW w:type="dxa" w:w="6960"/>
            <w:tcBorders>
              <w:top w:val="single" w:color="B6B09F" w:sz="1"/>
              <w:left w:val="single" w:color="B6B09F" w:sz="1"/>
              <w:bottom w:val="single" w:color="B6B09F" w:sz="1"/>
              <w:right w:val="single" w:color="B6B09F" w:sz="1"/>
            </w:tcBorders>
            <w:shd w:fill="F2F2F2"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Renewable Purchase Obligation. India's legal mandate for minimum renewable electricity.</w:t>
            </w:r>
          </w:p>
        </w:tc>
      </w:tr>
      <w:tr>
        <w:tc>
          <w:tcPr>
            <w:tcW w:type="dxa" w:w="2400"/>
            <w:tcBorders>
              <w:top w:val="single" w:color="B6B09F" w:sz="1"/>
              <w:left w:val="single" w:color="B6B09F" w:sz="1"/>
              <w:bottom w:val="single" w:color="B6B09F" w:sz="1"/>
              <w:right w:val="single" w:color="B6B09F" w:sz="1"/>
            </w:tcBorders>
            <w:shd w:fill="EAE4D5" w:val="clear"/>
            <w:tcMar>
              <w:top w:type="dxa" w:w="80"/>
              <w:left w:type="dxa" w:w="140"/>
              <w:bottom w:type="dxa" w:w="80"/>
              <w:right w:type="dxa" w:w="140"/>
            </w:tcMar>
            <w:vAlign w:val="center"/>
          </w:tcPr>
          <w:p>
            <w:pPr>
              <w:spacing w:after="80" w:before="120"/>
              <w:jc w:val="left"/>
            </w:pPr>
            <w:r>
              <w:rPr>
                <w:rFonts w:ascii="Arial" w:cs="Arial" w:eastAsia="Arial" w:hAnsi="Arial"/>
                <w:b/>
                <w:bCs/>
                <w:i w:val="false"/>
                <w:iCs w:val="false"/>
                <w:caps w:val="false"/>
                <w:color w:val="000000"/>
                <w:sz w:val="19"/>
                <w:szCs w:val="19"/>
              </w:rPr>
              <w:t xml:space="preserve">LB / MB</w:t>
            </w:r>
          </w:p>
        </w:tc>
        <w:tc>
          <w:tcPr>
            <w:tcW w:type="dxa" w:w="6960"/>
            <w:tcBorders>
              <w:top w:val="single" w:color="B6B09F" w:sz="1"/>
              <w:left w:val="single" w:color="B6B09F" w:sz="1"/>
              <w:bottom w:val="single" w:color="B6B09F" w:sz="1"/>
              <w:right w:val="single" w:color="B6B09F" w:sz="1"/>
            </w:tcBorders>
            <w:shd w:fill="FFFFFF" w:val="clear"/>
            <w:tcMar>
              <w:top w:type="dxa" w:w="80"/>
              <w:left w:type="dxa" w:w="140"/>
              <w:bottom w:type="dxa" w:w="80"/>
              <w:right w:type="dxa" w:w="140"/>
            </w:tcMar>
            <w:vAlign w:val="center"/>
          </w:tcPr>
          <w:p>
            <w:pPr>
              <w:spacing w:after="80" w:before="120"/>
              <w:jc w:val="left"/>
            </w:pPr>
            <w:r>
              <w:rPr>
                <w:rFonts w:ascii="Arial" w:cs="Arial" w:eastAsia="Arial" w:hAnsi="Arial"/>
                <w:b w:val="false"/>
                <w:bCs w:val="false"/>
                <w:i w:val="false"/>
                <w:iCs w:val="false"/>
                <w:caps w:val="false"/>
                <w:color w:val="000000"/>
                <w:sz w:val="19"/>
                <w:szCs w:val="19"/>
              </w:rPr>
              <w:t xml:space="preserve">Location-Based / Market-Based. Two GHG Protocol Scope 2 accounting methods.</w:t>
            </w:r>
          </w:p>
        </w:tc>
      </w:tr>
    </w:tbl>
    <w:p>
      <w:pPr>
        <w:spacing w:after="0" w:before="200"/>
      </w:pPr>
      <w:r>
        <w:t xml:space="preserve"/>
      </w:r>
    </w:p>
    <w:p>
      <w:pPr>
        <w:pBdr>
          <w:bottom w:val="single" w:color="000000" w:sz="4"/>
        </w:pBdr>
        <w:spacing w:after="80" w:before="80"/>
      </w:pPr>
      <w:r>
        <w:t xml:space="preserve"/>
      </w:r>
    </w:p>
    <w:p>
      <w:pPr>
        <w:spacing w:after="0" w:before="80"/>
      </w:pPr>
      <w:r>
        <w:t xml:space="preserve"/>
      </w:r>
    </w:p>
    <w:p>
      <w:pPr>
        <w:spacing w:after="0" w:before="80"/>
        <w:jc w:val="center"/>
      </w:pPr>
      <w:r>
        <w:rPr>
          <w:rFonts w:ascii="Arial" w:cs="Arial" w:eastAsia="Arial" w:hAnsi="Arial"/>
          <w:color w:val="B6B09F"/>
          <w:sz w:val="17"/>
          <w:szCs w:val="17"/>
        </w:rPr>
        <w:t xml:space="preserve">The Corporate  -  Net-Zero 2045  -  Revised 16 May 2026  -  Source: TheCorporate_Emissions_Energy_2023.xlsx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6B09F" w:sz="4"/>
      </w:pBdr>
      <w:spacing w:after="0" w:before="100"/>
    </w:pPr>
    <w:r>
      <w:rPr>
        <w:rFonts w:ascii="Arial" w:cs="Arial" w:eastAsia="Arial" w:hAnsi="Arial"/>
        <w:color w:val="B6B09F"/>
        <w:sz w:val="16"/>
        <w:szCs w:val="16"/>
      </w:rPr>
      <w:t xml:space="preserve">Confidential  -  16 May 2026  -  Page </w:t>
    </w:r>
    <w:fldSimple w:instr="PAGE">
      <w:r>
        <w:rPr>
          <w:rFonts w:ascii="Arial" w:cs="Arial" w:eastAsia="Arial" w:hAnsi="Arial"/>
          <w:color w:val="B6B09F"/>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6B09F" w:sz="4"/>
      </w:pBdr>
      <w:spacing w:after="100" w:before="0"/>
    </w:pPr>
    <w:r>
      <w:rPr>
        <w:rFonts w:ascii="Arial" w:cs="Arial" w:eastAsia="Arial" w:hAnsi="Arial"/>
        <w:color w:val="B6B09F"/>
        <w:sz w:val="16"/>
        <w:szCs w:val="16"/>
      </w:rPr>
      <w:t xml:space="preserve">THE CORPORATE</w:t>
    </w:r>
    <w:r>
      <w:rPr>
        <w:rFonts w:ascii="Arial" w:cs="Arial" w:eastAsia="Arial" w:hAnsi="Arial"/>
        <w:color w:val="B6B09F"/>
        <w:sz w:val="16"/>
        <w:szCs w:val="16"/>
      </w:rPr>
      <w:t xml:space="preserve">   -   NET-ZERO 2045  -  WORKBOOK-REVISED 16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2026-05-17T06:57:56.318Z</dcterms:created>
  <dcterms:modified xsi:type="dcterms:W3CDTF">2026-05-17T06:57:56.319Z</dcterms:modified>
</cp:coreProperties>
</file>

<file path=docProps/custom.xml><?xml version="1.0" encoding="utf-8"?>
<Properties xmlns="http://schemas.openxmlformats.org/officeDocument/2006/custom-properties" xmlns:vt="http://schemas.openxmlformats.org/officeDocument/2006/docPropsVTypes"/>
</file>