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3AD33">
      <w:pPr>
        <w:pStyle w:val="2"/>
        <w:jc w:val="center"/>
        <w:rPr>
          <w:sz w:val="44"/>
          <w:szCs w:val="44"/>
        </w:rPr>
      </w:pPr>
      <w:r>
        <w:rPr>
          <w:sz w:val="44"/>
          <w:szCs w:val="44"/>
        </w:rPr>
        <w:t>探究增量信息密度与情感异质性对美妆商品销量的影响 —— 基于真实购买与价格异质性的实证分析</w:t>
      </w:r>
    </w:p>
    <w:p w14:paraId="7B24E346">
      <w:pPr>
        <w:jc w:val="center"/>
        <w:rPr>
          <w:rFonts w:hint="eastAsia" w:ascii="楷体" w:hAnsi="楷体" w:eastAsia="楷体" w:cs="楷体"/>
          <w:sz w:val="28"/>
          <w:szCs w:val="28"/>
          <w:lang w:val="en-US" w:eastAsia="zh-CN"/>
        </w:rPr>
      </w:pPr>
      <w:r>
        <w:rPr>
          <w:rFonts w:hint="eastAsia" w:ascii="楷体" w:hAnsi="楷体" w:eastAsia="楷体" w:cs="楷体"/>
          <w:sz w:val="28"/>
          <w:szCs w:val="28"/>
        </w:rPr>
        <w:t>刘一诺，汪彦廷，黄梓涵，王璐瑶</w:t>
      </w:r>
    </w:p>
    <w:p w14:paraId="51CCB7A4">
      <w:pPr>
        <w:pStyle w:val="3"/>
        <w:spacing w:beforeAutospacing="0" w:afterAutospacing="0"/>
        <w:rPr>
          <w:rFonts w:hint="eastAsia" w:ascii="黑体" w:hAnsi="黑体" w:eastAsia="黑体" w:cs="黑体"/>
          <w:b w:val="0"/>
          <w:bCs w:val="0"/>
          <w:sz w:val="18"/>
          <w:szCs w:val="18"/>
          <w:lang w:val="en-US" w:eastAsia="zh-CN"/>
        </w:rPr>
      </w:pPr>
    </w:p>
    <w:p w14:paraId="263DF617">
      <w:pPr>
        <w:pStyle w:val="3"/>
        <w:spacing w:beforeAutospacing="0" w:afterAutospacing="0" w:line="360" w:lineRule="auto"/>
        <w:rPr>
          <w:rFonts w:hint="eastAsia" w:ascii="楷体" w:hAnsi="楷体" w:eastAsia="楷体" w:cs="楷体"/>
          <w:b w:val="0"/>
          <w:bCs w:val="0"/>
          <w:sz w:val="18"/>
          <w:szCs w:val="18"/>
        </w:rPr>
      </w:pPr>
      <w:r>
        <w:rPr>
          <w:rFonts w:hint="eastAsia" w:ascii="黑体" w:hAnsi="黑体" w:eastAsia="黑体" w:cs="黑体"/>
          <w:b w:val="0"/>
          <w:bCs w:val="0"/>
          <w:sz w:val="18"/>
          <w:szCs w:val="18"/>
          <w:lang w:val="en-US" w:eastAsia="zh-CN"/>
        </w:rPr>
        <w:t>摘要：</w:t>
      </w:r>
      <w:r>
        <w:rPr>
          <w:rFonts w:hint="eastAsia" w:ascii="楷体" w:hAnsi="楷体" w:eastAsia="楷体" w:cs="楷体"/>
          <w:b w:val="0"/>
          <w:bCs w:val="0"/>
          <w:sz w:val="18"/>
          <w:szCs w:val="18"/>
        </w:rPr>
        <w:t>在线评论是体验型美妆商品消费者核心决策依据，但现有研究多以评论数量、平均星级等表层指标衡量口碑价值，忽略评论文本中商家未披露的真实体验增量信息。本文依托亚马逊 All_Beauty 全品类评论数据集，通过文本分词与垂直领域词库匹配，构建</w:t>
      </w:r>
      <w:r>
        <w:rPr>
          <w:rStyle w:val="10"/>
          <w:rFonts w:hint="eastAsia" w:ascii="楷体" w:hAnsi="楷体" w:eastAsia="楷体" w:cs="楷体"/>
          <w:b w:val="0"/>
          <w:bCs w:val="0"/>
          <w:color w:val="000000"/>
          <w:sz w:val="18"/>
          <w:szCs w:val="18"/>
        </w:rPr>
        <w:t>增量信息密度</w:t>
      </w:r>
      <w:r>
        <w:rPr>
          <w:rFonts w:hint="eastAsia" w:ascii="楷体" w:hAnsi="楷体" w:eastAsia="楷体" w:cs="楷体"/>
          <w:b w:val="0"/>
          <w:bCs w:val="0"/>
          <w:sz w:val="18"/>
          <w:szCs w:val="18"/>
        </w:rPr>
        <w:t>核心解释变量，并拆分正向、负向增量信息刻画情感异质性，构建含二次项的非线性基准模型，同时引入真实购买占比、商品价格作为调节变量展开分层检验。研究结果表明，增量信息密度与美妆商品销量存在显著倒 U 型非线性关系；正向增量信息能够显著提升商品销量，负向增量信息虽包含负面使用反馈，但因具备真实性诊断价值，同样与销量呈正向关联；真实购买占比对增量信息密度的非线性效应存在弱调节作用，而价格区间未形成显著异质性门槛。本文从信息价值细分维度拓展在线口碑理论边界，为电商平台评论排序优化、美妆商家精细化口碑运营提供实证依据。</w:t>
      </w:r>
    </w:p>
    <w:p w14:paraId="64A0E54A">
      <w:pPr>
        <w:pStyle w:val="3"/>
        <w:spacing w:beforeAutospacing="0" w:afterAutospacing="0" w:line="360" w:lineRule="auto"/>
        <w:ind w:firstLine="0" w:firstLineChars="0"/>
        <w:rPr>
          <w:rFonts w:hint="eastAsia" w:ascii="楷体" w:hAnsi="楷体" w:eastAsia="楷体" w:cs="楷体"/>
          <w:b w:val="0"/>
          <w:bCs/>
          <w:sz w:val="18"/>
          <w:szCs w:val="18"/>
        </w:rPr>
      </w:pPr>
      <w:r>
        <w:rPr>
          <w:rStyle w:val="10"/>
          <w:rFonts w:hint="eastAsia" w:ascii="黑体" w:hAnsi="黑体" w:eastAsia="黑体" w:cs="黑体"/>
          <w:b w:val="0"/>
          <w:bCs/>
          <w:color w:val="000000"/>
          <w:sz w:val="18"/>
          <w:szCs w:val="18"/>
        </w:rPr>
        <w:t>关键词</w:t>
      </w:r>
      <w:r>
        <w:rPr>
          <w:rStyle w:val="10"/>
          <w:rFonts w:hint="eastAsia" w:ascii="黑体" w:hAnsi="黑体" w:eastAsia="黑体" w:cs="黑体"/>
          <w:b w:val="0"/>
          <w:bCs/>
          <w:color w:val="000000"/>
          <w:sz w:val="18"/>
          <w:szCs w:val="18"/>
          <w:lang w:eastAsia="zh-CN"/>
        </w:rPr>
        <w:t>：</w:t>
      </w:r>
      <w:r>
        <w:rPr>
          <w:rFonts w:hint="eastAsia" w:ascii="楷体" w:hAnsi="楷体" w:eastAsia="楷体" w:cs="楷体"/>
          <w:b w:val="0"/>
          <w:bCs/>
          <w:sz w:val="18"/>
          <w:szCs w:val="18"/>
        </w:rPr>
        <w:t>在线评论；增量信息密度；情感异质性；美妆商品；倒 U 型关系；调节效应</w:t>
      </w:r>
    </w:p>
    <w:p w14:paraId="114F0FA7">
      <w:pPr>
        <w:rPr>
          <w:rFonts w:hint="eastAsia" w:ascii="楷体" w:hAnsi="楷体" w:eastAsia="楷体" w:cs="楷体"/>
          <w:b w:val="0"/>
          <w:bCs/>
          <w:sz w:val="18"/>
          <w:szCs w:val="18"/>
        </w:rPr>
      </w:pPr>
    </w:p>
    <w:p w14:paraId="665B21FD">
      <w:pPr>
        <w:jc w:val="center"/>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rPr>
        <w:t>The Impact of Incremental Information Density and Sentiment Heterogeneity on Cosmetic Product Sales — An Empirical Test Based on Amazon Beauty Review Data</w:t>
      </w:r>
    </w:p>
    <w:p w14:paraId="473F3841">
      <w:pPr>
        <w:ind w:firstLine="280" w:firstLineChars="100"/>
        <w:jc w:val="center"/>
        <w:rPr>
          <w:rFonts w:hint="eastAsia" w:ascii="Times New Roman" w:hAnsi="Times New Roman" w:eastAsia="黑体" w:cs="Times New Roman"/>
          <w:b w:val="0"/>
          <w:bCs w:val="0"/>
          <w:sz w:val="28"/>
          <w:szCs w:val="28"/>
          <w:lang w:val="en-US" w:eastAsia="zh-CN"/>
        </w:rPr>
      </w:pPr>
      <w:r>
        <w:rPr>
          <w:rFonts w:hint="eastAsia" w:ascii="Times New Roman" w:hAnsi="Times New Roman" w:eastAsia="黑体" w:cs="Times New Roman"/>
          <w:b w:val="0"/>
          <w:bCs w:val="0"/>
          <w:sz w:val="28"/>
          <w:szCs w:val="28"/>
          <w:lang w:val="en-US" w:eastAsia="zh-CN"/>
        </w:rPr>
        <w:t>Liu Yinuo,Wang Yantin,Huang Zihan,Wang Luyao</w:t>
      </w:r>
    </w:p>
    <w:p w14:paraId="2741C9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16"/>
          <w:szCs w:val="16"/>
        </w:rPr>
      </w:pPr>
    </w:p>
    <w:p w14:paraId="282505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ascii="宋体" w:hAnsi="宋体" w:eastAsia="宋体" w:cs="宋体"/>
          <w:color w:val="000000"/>
          <w:kern w:val="0"/>
          <w:sz w:val="16"/>
          <w:szCs w:val="16"/>
          <w:lang w:val="en-US" w:eastAsia="zh-CN" w:bidi="ar"/>
        </w:rPr>
      </w:pPr>
      <w:r>
        <w:rPr>
          <w:rFonts w:hint="default" w:ascii="Times New Roman" w:hAnsi="Times New Roman" w:cs="Times New Roman"/>
          <w:b/>
          <w:bCs/>
          <w:color w:val="000000"/>
          <w:sz w:val="18"/>
          <w:szCs w:val="18"/>
        </w:rPr>
        <w:t>Abstract</w:t>
      </w:r>
      <w:r>
        <w:rPr>
          <w:rFonts w:hint="default" w:ascii="Times New Roman" w:hAnsi="Times New Roman" w:cs="Times New Roman"/>
          <w:b w:val="0"/>
          <w:bCs w:val="0"/>
          <w:color w:val="000000"/>
          <w:sz w:val="18"/>
          <w:szCs w:val="18"/>
          <w:lang w:val="en-US" w:eastAsia="zh-CN"/>
        </w:rPr>
        <w:t>:</w:t>
      </w:r>
      <w:r>
        <w:rPr>
          <w:rFonts w:hint="default" w:ascii="Times New Roman" w:hAnsi="Times New Roman" w:eastAsia="宋体" w:cs="Times New Roman"/>
          <w:b w:val="0"/>
          <w:bCs w:val="0"/>
          <w:color w:val="000000"/>
          <w:kern w:val="0"/>
          <w:sz w:val="18"/>
          <w:szCs w:val="18"/>
          <w:lang w:val="en-US" w:eastAsia="zh-CN" w:bidi="ar"/>
        </w:rPr>
        <w:t>Online reviews serve as the core decision-making reference for consumers of experiential cosmetic products. However, existing studies mostly measure word-of-mouth value through superficial indicators such as review volume and average star rating, ignoring incremental real experience information undisclosed by merchants in review texts. Based on the Amazon All_Beauty full-category review dataset, this paper constructs the core explanatory variable of incremental information density via text segmentation and vertical thesaurus matching, and subdivides positive and negative incremental information to depict sentiment heterogeneity. A nonlinear benchmark model with quadratic terms is constructed, and verified purchase ratio and commodity price are introduced as moderators for hierarchical tests. The results show that incremental information density has a significant inverted U-shaped nonlinear relationship with cosmetic sales. Positive incremental information significantly boosts product sales; while negative incremental information contains adverse usage feedback, it is also positively correlated with sales due to its authentic diagnostic value. The ratio of verified purchases exerts a weak moderating effect on the nonlinear effect of incremental information density, whereas price tiers do not generate significant heterogeneous thresholds. This paper expands online word-of-mouth theory from the subdivided dimension of information value, and provides empirical evidence for e-commerce platforms to optimize review sorting and cosmetic merchants to conduct refined reputation management.</w:t>
      </w:r>
      <w:r>
        <w:rPr>
          <w:rFonts w:ascii="宋体" w:hAnsi="宋体" w:eastAsia="宋体" w:cs="宋体"/>
          <w:color w:val="000000"/>
          <w:kern w:val="0"/>
          <w:sz w:val="16"/>
          <w:szCs w:val="16"/>
          <w:lang w:val="en-US" w:eastAsia="zh-CN" w:bidi="ar"/>
        </w:rPr>
        <w:t xml:space="preserve"> </w:t>
      </w:r>
    </w:p>
    <w:p w14:paraId="1F5A96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default" w:ascii="Times New Roman" w:hAnsi="Times New Roman" w:eastAsia="宋体" w:cs="Times New Roman"/>
          <w:b w:val="0"/>
          <w:bCs w:val="0"/>
          <w:color w:val="000000"/>
          <w:kern w:val="0"/>
          <w:sz w:val="18"/>
          <w:szCs w:val="18"/>
          <w:lang w:val="en-US" w:eastAsia="zh-CN" w:bidi="ar"/>
        </w:rPr>
      </w:pPr>
      <w:r>
        <w:rPr>
          <w:rStyle w:val="10"/>
          <w:rFonts w:hint="default" w:ascii="Times New Roman" w:hAnsi="Times New Roman" w:eastAsia="宋体" w:cs="Times New Roman"/>
          <w:b/>
          <w:bCs/>
          <w:color w:val="000000"/>
          <w:kern w:val="0"/>
          <w:sz w:val="18"/>
          <w:szCs w:val="18"/>
          <w:lang w:val="en-US" w:eastAsia="zh-CN" w:bidi="ar"/>
        </w:rPr>
        <w:t>Keywords</w:t>
      </w:r>
      <w:r>
        <w:rPr>
          <w:rStyle w:val="10"/>
          <w:rFonts w:hint="default" w:ascii="Times New Roman" w:hAnsi="Times New Roman" w:cs="Times New Roman"/>
          <w:b/>
          <w:bCs/>
          <w:color w:val="000000"/>
          <w:kern w:val="0"/>
          <w:sz w:val="18"/>
          <w:szCs w:val="18"/>
          <w:lang w:val="en-US" w:eastAsia="zh-CN" w:bidi="ar"/>
        </w:rPr>
        <w:t>:</w:t>
      </w:r>
      <w:r>
        <w:rPr>
          <w:rFonts w:ascii="宋体" w:hAnsi="宋体" w:eastAsia="宋体" w:cs="宋体"/>
          <w:color w:val="000000"/>
          <w:kern w:val="0"/>
          <w:sz w:val="16"/>
          <w:szCs w:val="16"/>
          <w:lang w:val="en-US" w:eastAsia="zh-CN" w:bidi="ar"/>
        </w:rPr>
        <w:t xml:space="preserve"> </w:t>
      </w:r>
      <w:r>
        <w:rPr>
          <w:rFonts w:hint="default" w:ascii="Times New Roman" w:hAnsi="Times New Roman" w:eastAsia="宋体" w:cs="Times New Roman"/>
          <w:b w:val="0"/>
          <w:bCs w:val="0"/>
          <w:color w:val="000000"/>
          <w:kern w:val="0"/>
          <w:sz w:val="18"/>
          <w:szCs w:val="18"/>
          <w:lang w:val="en-US" w:eastAsia="zh-CN" w:bidi="ar"/>
        </w:rPr>
        <w:t>Online Reviews; Incremental Information Density; Sentiment Heterogeneity; Cosmetic Products; Inverted U-Shaped Relationship; Moderating Effect</w:t>
      </w:r>
    </w:p>
    <w:p w14:paraId="560E7191">
      <w:pPr>
        <w:rPr>
          <w:rFonts w:hint="default" w:ascii="Times New Roman" w:hAnsi="Times New Roman" w:eastAsia="宋体" w:cs="Times New Roman"/>
          <w:b w:val="0"/>
          <w:bCs w:val="0"/>
          <w:color w:val="000000"/>
          <w:kern w:val="0"/>
          <w:sz w:val="18"/>
          <w:szCs w:val="18"/>
          <w:lang w:val="en-US" w:eastAsia="zh-CN" w:bidi="ar"/>
        </w:rPr>
      </w:pPr>
    </w:p>
    <w:p w14:paraId="1D177C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rPr>
        <w:t>引言</w:t>
      </w:r>
    </w:p>
    <w:p w14:paraId="61F414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jc w:val="left"/>
        <w:rPr>
          <w:color w:val="000000"/>
          <w:sz w:val="21"/>
          <w:szCs w:val="21"/>
        </w:rPr>
      </w:pPr>
      <w:r>
        <w:rPr>
          <w:rFonts w:ascii="宋体" w:hAnsi="宋体" w:eastAsia="宋体" w:cs="宋体"/>
          <w:color w:val="000000"/>
          <w:kern w:val="0"/>
          <w:sz w:val="21"/>
          <w:szCs w:val="21"/>
          <w:lang w:val="en-US" w:eastAsia="zh-CN" w:bidi="ar"/>
        </w:rPr>
        <w:t>数字经济背景下，线上美妆消费规模持续扩张，美妆产品作为典型体验型商品</w:t>
      </w:r>
      <w:r>
        <w:rPr>
          <w:rFonts w:hint="default" w:ascii="宋体" w:hAnsi="宋体" w:eastAsia="宋体" w:cs="宋体"/>
          <w:color w:val="000000"/>
          <w:kern w:val="0"/>
          <w:sz w:val="21"/>
          <w:szCs w:val="21"/>
          <w:vertAlign w:val="superscript"/>
          <w:lang w:val="en-US" w:eastAsia="zh-CN" w:bidi="ar"/>
        </w:rPr>
        <w:fldChar w:fldCharType="begin"/>
      </w:r>
      <w:r>
        <w:instrText xml:space="preserve"> REF _Ref5640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【10】</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，存在极强的事前信息不对称特征</w:t>
      </w:r>
      <w:r>
        <w:rPr>
          <w:rFonts w:hint="default" w:ascii="宋体" w:hAnsi="宋体" w:eastAsia="宋体" w:cs="宋体"/>
          <w:color w:val="000000"/>
          <w:kern w:val="0"/>
          <w:sz w:val="21"/>
          <w:szCs w:val="21"/>
          <w:vertAlign w:val="superscript"/>
          <w:lang w:val="en-US" w:eastAsia="zh-CN" w:bidi="ar"/>
        </w:rPr>
        <w:fldChar w:fldCharType="begin"/>
      </w:r>
      <w:r>
        <w:instrText xml:space="preserve"> REF _Ref5846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【5】</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，消费者无法仅凭商家图文宣传判断肤质适配、长期使用效果等核心效用，在线用户评论成为弥补信息鸿沟的核心第三方信源。海量评论文本中充斥 “物流快捷”“包装精美” 等无实质参考价值的冗余表述，此类内容仅增加评论总量，无法为消费者提供差异化决策信息，由此形成评论数量膨胀但有效信息稀缺的信噪比失衡问题。</w:t>
      </w:r>
    </w:p>
    <w:p w14:paraId="268F82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jc w:val="left"/>
        <w:rPr>
          <w:color w:val="000000"/>
          <w:sz w:val="21"/>
          <w:szCs w:val="21"/>
        </w:rPr>
      </w:pPr>
      <w:r>
        <w:rPr>
          <w:rFonts w:ascii="宋体" w:hAnsi="宋体" w:eastAsia="宋体" w:cs="宋体"/>
          <w:color w:val="000000"/>
          <w:kern w:val="0"/>
          <w:sz w:val="21"/>
          <w:szCs w:val="21"/>
          <w:lang w:val="en-US" w:eastAsia="zh-CN" w:bidi="ar"/>
        </w:rPr>
        <w:t>现有电商口碑实证研究存在明显局限：其一，多数文献仅采用评论条数、平均评分、文本长度等浅层指标衡量评论价值</w:t>
      </w:r>
      <w:r>
        <w:rPr>
          <w:rFonts w:hint="default" w:ascii="宋体" w:hAnsi="宋体" w:eastAsia="宋体" w:cs="宋体"/>
          <w:color w:val="000000"/>
          <w:kern w:val="0"/>
          <w:sz w:val="22"/>
          <w:szCs w:val="22"/>
          <w:vertAlign w:val="superscript"/>
          <w:lang w:val="en-US" w:eastAsia="zh-CN" w:bidi="ar"/>
        </w:rPr>
        <w:fldChar w:fldCharType="begin"/>
      </w:r>
      <w:r>
        <w:instrText xml:space="preserve"> REF _Ref5928 \r \h  \* MERGEFORMAT</w:instrText>
      </w:r>
      <w:r>
        <w:rPr>
          <w:rFonts w:hint="default" w:ascii="宋体" w:hAnsi="宋体" w:eastAsia="宋体" w:cs="宋体"/>
          <w:color w:val="000000"/>
          <w:kern w:val="0"/>
          <w:sz w:val="22"/>
          <w:szCs w:val="22"/>
          <w:vertAlign w:val="superscript"/>
          <w:lang w:val="en-US" w:eastAsia="zh-CN" w:bidi="ar"/>
        </w:rPr>
        <w:fldChar w:fldCharType="separate"/>
      </w:r>
      <w:r>
        <w:rPr>
          <w:rFonts w:hint="default" w:ascii="宋体" w:hAnsi="宋体" w:eastAsia="宋体" w:cs="宋体"/>
          <w:color w:val="000000"/>
          <w:kern w:val="0"/>
          <w:sz w:val="22"/>
          <w:szCs w:val="22"/>
          <w:vertAlign w:val="superscript"/>
          <w:lang w:val="en-US" w:eastAsia="zh-CN" w:bidi="ar"/>
        </w:rPr>
        <w:t>【7】</w:t>
      </w:r>
      <w:r>
        <w:rPr>
          <w:rFonts w:hint="default" w:ascii="宋体" w:hAnsi="宋体" w:eastAsia="宋体" w:cs="宋体"/>
          <w:color w:val="000000"/>
          <w:kern w:val="0"/>
          <w:sz w:val="22"/>
          <w:szCs w:val="22"/>
          <w:vertAlign w:val="superscript"/>
          <w:lang w:val="en-US" w:eastAsia="zh-CN" w:bidi="ar"/>
        </w:rPr>
        <w:fldChar w:fldCharType="end"/>
      </w:r>
      <w:r>
        <w:rPr>
          <w:rFonts w:ascii="宋体" w:hAnsi="宋体" w:eastAsia="宋体" w:cs="宋体"/>
          <w:color w:val="000000"/>
          <w:kern w:val="0"/>
          <w:sz w:val="21"/>
          <w:szCs w:val="21"/>
          <w:lang w:val="en-US" w:eastAsia="zh-CN" w:bidi="ar"/>
        </w:rPr>
        <w:t>，未区分商家宣传重复文本与用户独有增量信息</w:t>
      </w:r>
      <w:r>
        <w:rPr>
          <w:rFonts w:hint="default" w:ascii="宋体" w:hAnsi="宋体" w:eastAsia="宋体" w:cs="宋体"/>
          <w:color w:val="000000"/>
          <w:kern w:val="0"/>
          <w:sz w:val="21"/>
          <w:szCs w:val="21"/>
          <w:vertAlign w:val="superscript"/>
          <w:lang w:val="en-US" w:eastAsia="zh-CN" w:bidi="ar"/>
        </w:rPr>
        <w:fldChar w:fldCharType="begin"/>
      </w:r>
      <w:r>
        <w:instrText xml:space="preserve"> REF _Ref5947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【1】</w:t>
      </w:r>
      <w:r>
        <w:rPr>
          <w:rFonts w:hint="default" w:ascii="宋体" w:hAnsi="宋体" w:eastAsia="宋体" w:cs="宋体"/>
          <w:color w:val="000000"/>
          <w:kern w:val="0"/>
          <w:sz w:val="21"/>
          <w:szCs w:val="21"/>
          <w:vertAlign w:val="superscript"/>
          <w:lang w:val="en-US" w:eastAsia="zh-CN" w:bidi="ar"/>
        </w:rPr>
        <w:fldChar w:fldCharType="end"/>
      </w:r>
      <w:r>
        <w:rPr>
          <w:rFonts w:hint="default" w:ascii="宋体" w:hAnsi="宋体" w:eastAsia="宋体" w:cs="宋体"/>
          <w:color w:val="000000"/>
          <w:kern w:val="0"/>
          <w:sz w:val="21"/>
          <w:szCs w:val="21"/>
          <w:vertAlign w:val="superscript"/>
          <w:lang w:val="en-US" w:eastAsia="zh-CN" w:bidi="ar"/>
        </w:rPr>
        <w:fldChar w:fldCharType="begin"/>
      </w:r>
      <w:r>
        <w:instrText xml:space="preserve"> REF _Ref5957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【9】</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，缺乏对评论真实信息浓度的量化测度；其二，少量文本挖掘类研究仅采用通用情感词典计算整体情感得分</w:t>
      </w:r>
      <w:r>
        <w:rPr>
          <w:rFonts w:hint="default" w:ascii="宋体" w:hAnsi="宋体" w:eastAsia="宋体" w:cs="宋体"/>
          <w:color w:val="000000"/>
          <w:kern w:val="0"/>
          <w:sz w:val="21"/>
          <w:szCs w:val="21"/>
          <w:vertAlign w:val="superscript"/>
          <w:lang w:val="en-US" w:eastAsia="zh-CN" w:bidi="ar"/>
        </w:rPr>
        <w:fldChar w:fldCharType="begin"/>
      </w:r>
      <w:r>
        <w:instrText xml:space="preserve"> REF _Ref5990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【2】</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，未针对美妆行业肤质、功效、刺激反应等专属体验词汇拆分正负向增量信息</w:t>
      </w:r>
      <w:r>
        <w:rPr>
          <w:rFonts w:hint="default" w:ascii="宋体" w:hAnsi="宋体" w:eastAsia="宋体" w:cs="宋体"/>
          <w:color w:val="000000"/>
          <w:kern w:val="0"/>
          <w:sz w:val="21"/>
          <w:szCs w:val="21"/>
          <w:vertAlign w:val="superscript"/>
          <w:lang w:val="en-US" w:eastAsia="zh-CN" w:bidi="ar"/>
        </w:rPr>
        <w:fldChar w:fldCharType="begin"/>
      </w:r>
      <w:r>
        <w:instrText xml:space="preserve"> REF _Ref6039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【8】</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，无法区分普通好评与具备诊断价值的负面实测反馈</w:t>
      </w:r>
      <w:r>
        <w:rPr>
          <w:rFonts w:hint="default" w:ascii="宋体" w:hAnsi="宋体" w:eastAsia="宋体" w:cs="宋体"/>
          <w:color w:val="000000"/>
          <w:kern w:val="0"/>
          <w:sz w:val="21"/>
          <w:szCs w:val="21"/>
          <w:vertAlign w:val="superscript"/>
          <w:lang w:val="en-US" w:eastAsia="zh-CN" w:bidi="ar"/>
        </w:rPr>
        <w:fldChar w:fldCharType="begin"/>
      </w:r>
      <w:r>
        <w:instrText xml:space="preserve"> REF _Ref6058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【6】</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；其三，多数研究默认评论信息与销量存在单调线性关系，未考虑信息过载带来的消费者决策犹豫风险，忽略二者潜在非线性关联。</w:t>
      </w:r>
    </w:p>
    <w:p w14:paraId="1DDB83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jc w:val="left"/>
        <w:rPr>
          <w:color w:val="000000"/>
          <w:sz w:val="21"/>
          <w:szCs w:val="21"/>
        </w:rPr>
      </w:pPr>
      <w:r>
        <w:rPr>
          <w:rFonts w:ascii="宋体" w:hAnsi="宋体" w:eastAsia="宋体" w:cs="宋体"/>
          <w:color w:val="000000"/>
          <w:kern w:val="0"/>
          <w:sz w:val="21"/>
          <w:szCs w:val="21"/>
          <w:lang w:val="en-US" w:eastAsia="zh-CN" w:bidi="ar"/>
        </w:rPr>
        <w:t>基于上述研究缺口，本文立足信息不对称</w:t>
      </w:r>
      <w:r>
        <w:rPr>
          <w:rFonts w:hint="default" w:ascii="宋体" w:hAnsi="宋体" w:eastAsia="宋体" w:cs="宋体"/>
          <w:color w:val="000000"/>
          <w:kern w:val="0"/>
          <w:sz w:val="21"/>
          <w:szCs w:val="21"/>
          <w:vertAlign w:val="superscript"/>
          <w:lang w:val="en-US" w:eastAsia="zh-CN" w:bidi="ar"/>
        </w:rPr>
        <w:fldChar w:fldCharType="begin"/>
      </w:r>
      <w:r>
        <w:instrText xml:space="preserve"> REF _Ref5846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【5】</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、信号传递与信息价值理论</w:t>
      </w:r>
      <w:r>
        <w:rPr>
          <w:rFonts w:hint="default" w:ascii="宋体" w:hAnsi="宋体" w:eastAsia="宋体" w:cs="宋体"/>
          <w:color w:val="000000"/>
          <w:kern w:val="0"/>
          <w:sz w:val="21"/>
          <w:szCs w:val="21"/>
          <w:vertAlign w:val="superscript"/>
          <w:lang w:val="en-US" w:eastAsia="zh-CN" w:bidi="ar"/>
        </w:rPr>
        <w:fldChar w:fldCharType="begin"/>
      </w:r>
      <w:r>
        <w:instrText xml:space="preserve"> REF _Ref6094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【11】</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将评论信息划分为商家固有宣传信息与用户独有增量体验信息，构建增量信息密度指标衡量评论有效信息占比，进一步拆分正向、负向增量信息刻画情感异质性，搭建含二次项的非线性计量模型，检验增量信息密度对美妆商品销量的倒 U 型作用，并考察真实购买标识、商品价格的调节边界。本文边际贡献体现为三点：第一，垂直美妆领域构建增量信息密度指标，突破传统评论表层变量的研究局限</w:t>
      </w:r>
      <w:r>
        <w:rPr>
          <w:rFonts w:hint="default" w:ascii="宋体" w:hAnsi="宋体" w:eastAsia="宋体" w:cs="宋体"/>
          <w:color w:val="000000"/>
          <w:kern w:val="0"/>
          <w:sz w:val="21"/>
          <w:szCs w:val="21"/>
          <w:vertAlign w:val="superscript"/>
          <w:lang w:val="en-US" w:eastAsia="zh-CN" w:bidi="ar"/>
        </w:rPr>
        <w:fldChar w:fldCharType="begin"/>
      </w:r>
      <w:r>
        <w:instrText xml:space="preserve"> REF _Ref5947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【1】</w:t>
      </w:r>
      <w:r>
        <w:rPr>
          <w:rFonts w:hint="default" w:ascii="宋体" w:hAnsi="宋体" w:eastAsia="宋体" w:cs="宋体"/>
          <w:color w:val="000000"/>
          <w:kern w:val="0"/>
          <w:sz w:val="21"/>
          <w:szCs w:val="21"/>
          <w:vertAlign w:val="superscript"/>
          <w:lang w:val="en-US" w:eastAsia="zh-CN" w:bidi="ar"/>
        </w:rPr>
        <w:fldChar w:fldCharType="end"/>
      </w:r>
      <w:r>
        <w:rPr>
          <w:rFonts w:hint="default" w:ascii="宋体" w:hAnsi="宋体" w:eastAsia="宋体" w:cs="宋体"/>
          <w:color w:val="000000"/>
          <w:kern w:val="0"/>
          <w:sz w:val="21"/>
          <w:szCs w:val="21"/>
          <w:vertAlign w:val="superscript"/>
          <w:lang w:val="en-US" w:eastAsia="zh-CN" w:bidi="ar"/>
        </w:rPr>
        <w:fldChar w:fldCharType="begin"/>
      </w:r>
      <w:r>
        <w:instrText xml:space="preserve"> REF _Ref5957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【9】</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；第二，区分增量信息的情感极性，单独检验正负向实测体验的差异化销量效应</w:t>
      </w:r>
      <w:r>
        <w:rPr>
          <w:rFonts w:hint="default" w:ascii="宋体" w:hAnsi="宋体" w:eastAsia="宋体" w:cs="宋体"/>
          <w:color w:val="000000"/>
          <w:kern w:val="0"/>
          <w:sz w:val="21"/>
          <w:szCs w:val="21"/>
          <w:vertAlign w:val="superscript"/>
          <w:lang w:val="en-US" w:eastAsia="zh-CN" w:bidi="ar"/>
        </w:rPr>
        <w:fldChar w:fldCharType="begin"/>
      </w:r>
      <w:r>
        <w:instrText xml:space="preserve"> REF _Ref5990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【2】</w:t>
      </w:r>
      <w:r>
        <w:rPr>
          <w:rFonts w:hint="default" w:ascii="宋体" w:hAnsi="宋体" w:eastAsia="宋体" w:cs="宋体"/>
          <w:color w:val="000000"/>
          <w:kern w:val="0"/>
          <w:sz w:val="21"/>
          <w:szCs w:val="21"/>
          <w:vertAlign w:val="superscript"/>
          <w:lang w:val="en-US" w:eastAsia="zh-CN" w:bidi="ar"/>
        </w:rPr>
        <w:fldChar w:fldCharType="end"/>
      </w:r>
      <w:r>
        <w:rPr>
          <w:rFonts w:hint="default" w:ascii="宋体" w:hAnsi="宋体" w:eastAsia="宋体" w:cs="宋体"/>
          <w:color w:val="000000"/>
          <w:kern w:val="0"/>
          <w:sz w:val="21"/>
          <w:szCs w:val="21"/>
          <w:vertAlign w:val="superscript"/>
          <w:lang w:val="en-US" w:eastAsia="zh-CN" w:bidi="ar"/>
        </w:rPr>
        <w:fldChar w:fldCharType="begin"/>
      </w:r>
      <w:r>
        <w:instrText xml:space="preserve"> REF _Ref6058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【6】</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；第三，摒弃单一线性假设，直接以二次非线性模型为基准，完整识别信息稀缺与信息过载两种情境下的作用差异，丰富体验型商品口碑非线性影响机制相关研究。</w:t>
      </w:r>
    </w:p>
    <w:p w14:paraId="7CA6721B">
      <w:pPr>
        <w:rPr>
          <w:rFonts w:hint="default" w:ascii="Times New Roman" w:hAnsi="Times New Roman" w:eastAsia="宋体" w:cs="Times New Roman"/>
          <w:b w:val="0"/>
          <w:bCs w:val="0"/>
          <w:color w:val="000000"/>
          <w:kern w:val="0"/>
          <w:sz w:val="18"/>
          <w:szCs w:val="18"/>
          <w:lang w:val="en-US" w:eastAsia="zh-CN" w:bidi="ar"/>
        </w:rPr>
      </w:pPr>
    </w:p>
    <w:p w14:paraId="376791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color w:val="000000"/>
          <w:sz w:val="28"/>
          <w:szCs w:val="28"/>
        </w:rPr>
      </w:pPr>
      <w:r>
        <w:rPr>
          <w:rFonts w:hint="eastAsia"/>
          <w:color w:val="000000"/>
          <w:sz w:val="28"/>
          <w:szCs w:val="28"/>
          <w:lang w:val="en-US" w:eastAsia="zh-CN"/>
        </w:rPr>
        <w:t xml:space="preserve">1 </w:t>
      </w:r>
      <w:r>
        <w:rPr>
          <w:color w:val="000000"/>
          <w:sz w:val="28"/>
          <w:szCs w:val="28"/>
        </w:rPr>
        <w:t>文献综述与研究缺口识别</w:t>
      </w:r>
    </w:p>
    <w:p w14:paraId="41522D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color w:val="000000"/>
          <w:sz w:val="21"/>
          <w:szCs w:val="21"/>
        </w:rPr>
      </w:pPr>
      <w:r>
        <w:rPr>
          <w:rFonts w:hint="eastAsia"/>
          <w:color w:val="000000"/>
          <w:sz w:val="21"/>
          <w:szCs w:val="21"/>
          <w:lang w:val="en-US" w:eastAsia="zh-CN"/>
        </w:rPr>
        <w:t>1</w:t>
      </w:r>
      <w:r>
        <w:rPr>
          <w:color w:val="000000"/>
          <w:sz w:val="21"/>
          <w:szCs w:val="21"/>
        </w:rPr>
        <w:t>.1 在线评论价值：从规模指标到信息质量维度</w:t>
      </w:r>
    </w:p>
    <w:p w14:paraId="7393E6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jc w:val="left"/>
        <w:rPr>
          <w:color w:val="000000"/>
          <w:sz w:val="21"/>
          <w:szCs w:val="21"/>
        </w:rPr>
      </w:pPr>
      <w:r>
        <w:rPr>
          <w:rFonts w:ascii="宋体" w:hAnsi="宋体" w:eastAsia="宋体" w:cs="宋体"/>
          <w:color w:val="000000"/>
          <w:kern w:val="0"/>
          <w:sz w:val="21"/>
          <w:szCs w:val="21"/>
          <w:lang w:val="en-US" w:eastAsia="zh-CN" w:bidi="ar"/>
        </w:rPr>
        <w:t>早期在线口碑研究以 Chevalier &amp; Mayzlin（2006）</w:t>
      </w:r>
      <w:r>
        <w:rPr>
          <w:rFonts w:hint="default" w:ascii="宋体" w:hAnsi="宋体" w:eastAsia="宋体" w:cs="宋体"/>
          <w:color w:val="000000"/>
          <w:kern w:val="0"/>
          <w:sz w:val="21"/>
          <w:szCs w:val="21"/>
          <w:vertAlign w:val="superscript"/>
          <w:lang w:val="en-US" w:eastAsia="zh-CN" w:bidi="ar"/>
        </w:rPr>
        <w:fldChar w:fldCharType="begin"/>
      </w:r>
      <w:r>
        <w:instrText xml:space="preserve"> REF _Ref5928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【7】</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为代表，证实评论总量、平均星级能够降低消费者信息搜寻成本，正向推动产品销量，该框架长期成为电商实证研究基础范式。国内郝媛媛等（2010）</w:t>
      </w:r>
      <w:r>
        <w:rPr>
          <w:rFonts w:hint="default" w:ascii="宋体" w:hAnsi="宋体" w:eastAsia="宋体" w:cs="宋体"/>
          <w:color w:val="000000"/>
          <w:kern w:val="0"/>
          <w:sz w:val="21"/>
          <w:szCs w:val="21"/>
          <w:vertAlign w:val="superscript"/>
          <w:lang w:val="en-US" w:eastAsia="zh-CN" w:bidi="ar"/>
        </w:rPr>
        <w:fldChar w:fldCharType="begin"/>
      </w:r>
      <w:r>
        <w:instrText xml:space="preserve"> REF _Ref6408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【3】</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基于影评数据同样验证评论规模的正向作用，但同时指出星级评分存在高分聚集偏差，单一指标存在测量误差。后续研究逐步意识到文本质量的重要性，Mudambi &amp; Schuff（2010）</w:t>
      </w:r>
      <w:r>
        <w:rPr>
          <w:rFonts w:hint="default" w:ascii="宋体" w:hAnsi="宋体" w:eastAsia="宋体" w:cs="宋体"/>
          <w:color w:val="000000"/>
          <w:kern w:val="0"/>
          <w:sz w:val="21"/>
          <w:szCs w:val="21"/>
          <w:vertAlign w:val="superscript"/>
          <w:lang w:val="en-US" w:eastAsia="zh-CN" w:bidi="ar"/>
        </w:rPr>
        <w:fldChar w:fldCharType="begin"/>
      </w:r>
      <w:r>
        <w:instrText xml:space="preserve"> REF _Ref5957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【9】</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提出评论深度概念，认为文本有效信息含量比字符长度更能决定评论有用性；毕继东、郝金星（2015）</w:t>
      </w:r>
      <w:r>
        <w:rPr>
          <w:rFonts w:hint="default" w:ascii="宋体" w:hAnsi="宋体" w:eastAsia="宋体" w:cs="宋体"/>
          <w:color w:val="000000"/>
          <w:kern w:val="0"/>
          <w:sz w:val="21"/>
          <w:szCs w:val="21"/>
          <w:vertAlign w:val="superscript"/>
          <w:lang w:val="en-US" w:eastAsia="zh-CN" w:bidi="ar"/>
        </w:rPr>
        <w:fldChar w:fldCharType="begin"/>
      </w:r>
      <w:r>
        <w:instrText xml:space="preserve"> REF _Ref5947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【1】</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综述指出，消费者决策后期会从宏观评分转向微观文本细节挖掘。但现有质量测度方式仍存在缺陷，现有文本深度指标仅统计文本长度、词汇丰富度，未剔除与商家详情页完全重合的宣传话术，无法剥离无决策价值的冗余内容，难以精准衡量真正具备补偿信息不对称</w:t>
      </w:r>
      <w:r>
        <w:rPr>
          <w:rFonts w:hint="default" w:ascii="宋体" w:hAnsi="宋体" w:eastAsia="宋体" w:cs="宋体"/>
          <w:color w:val="000000"/>
          <w:kern w:val="0"/>
          <w:sz w:val="21"/>
          <w:szCs w:val="21"/>
          <w:vertAlign w:val="superscript"/>
          <w:lang w:val="en-US" w:eastAsia="zh-CN" w:bidi="ar"/>
        </w:rPr>
        <w:fldChar w:fldCharType="begin"/>
      </w:r>
      <w:r>
        <w:instrText xml:space="preserve"> REF _Ref5846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【5】</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作用的增量信息。</w:t>
      </w:r>
    </w:p>
    <w:p w14:paraId="11F5C2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color w:val="000000"/>
          <w:sz w:val="16"/>
          <w:szCs w:val="16"/>
        </w:rPr>
      </w:pPr>
    </w:p>
    <w:p w14:paraId="4D1130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color w:val="000000"/>
          <w:sz w:val="21"/>
          <w:szCs w:val="21"/>
        </w:rPr>
      </w:pPr>
      <w:r>
        <w:rPr>
          <w:rFonts w:hint="eastAsia"/>
          <w:color w:val="000000"/>
          <w:sz w:val="21"/>
          <w:szCs w:val="21"/>
          <w:lang w:val="en-US" w:eastAsia="zh-CN"/>
        </w:rPr>
        <w:t>1</w:t>
      </w:r>
      <w:r>
        <w:rPr>
          <w:color w:val="000000"/>
          <w:sz w:val="21"/>
          <w:szCs w:val="21"/>
        </w:rPr>
        <w:t>.2</w:t>
      </w:r>
      <w:r>
        <w:rPr>
          <w:rFonts w:hint="eastAsia"/>
          <w:color w:val="000000"/>
          <w:sz w:val="21"/>
          <w:szCs w:val="21"/>
          <w:lang w:val="en-US" w:eastAsia="zh-CN"/>
        </w:rPr>
        <w:t xml:space="preserve"> </w:t>
      </w:r>
      <w:r>
        <w:rPr>
          <w:color w:val="000000"/>
          <w:sz w:val="21"/>
          <w:szCs w:val="21"/>
        </w:rPr>
        <w:t>体验型美妆商品的评论特殊作用机制</w:t>
      </w:r>
    </w:p>
    <w:p w14:paraId="615BC5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jc w:val="left"/>
        <w:rPr>
          <w:color w:val="000000"/>
          <w:sz w:val="21"/>
          <w:szCs w:val="21"/>
        </w:rPr>
      </w:pPr>
      <w:r>
        <w:rPr>
          <w:rFonts w:ascii="宋体" w:hAnsi="宋体" w:eastAsia="宋体" w:cs="宋体"/>
          <w:color w:val="000000"/>
          <w:kern w:val="0"/>
          <w:sz w:val="21"/>
          <w:szCs w:val="21"/>
          <w:lang w:val="en-US" w:eastAsia="zh-CN" w:bidi="ar"/>
        </w:rPr>
        <w:t>依据 Nelson（1970）</w:t>
      </w:r>
      <w:r>
        <w:rPr>
          <w:rFonts w:hint="default" w:ascii="宋体" w:hAnsi="宋体" w:eastAsia="宋体" w:cs="宋体"/>
          <w:color w:val="000000"/>
          <w:kern w:val="0"/>
          <w:sz w:val="21"/>
          <w:szCs w:val="21"/>
          <w:vertAlign w:val="superscript"/>
          <w:lang w:val="en-US" w:eastAsia="zh-CN" w:bidi="ar"/>
        </w:rPr>
        <w:fldChar w:fldCharType="begin"/>
      </w:r>
      <w:r>
        <w:instrText xml:space="preserve"> REF _Ref5640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【10】</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商品分类理论，美妆属于强体验型商品，购买前无法直观评估肤质适配、致痘风险等隐性效用，信息不对称程度远高于服饰、家居等搜寻类商品。赵宏霞等（2015）</w:t>
      </w:r>
      <w:r>
        <w:rPr>
          <w:rFonts w:hint="default" w:ascii="宋体" w:hAnsi="宋体" w:eastAsia="宋体" w:cs="宋体"/>
          <w:color w:val="000000"/>
          <w:kern w:val="0"/>
          <w:sz w:val="21"/>
          <w:szCs w:val="21"/>
          <w:vertAlign w:val="superscript"/>
          <w:lang w:val="en-US" w:eastAsia="zh-CN" w:bidi="ar"/>
        </w:rPr>
        <w:fldChar w:fldCharType="begin"/>
      </w:r>
      <w:r>
        <w:instrText xml:space="preserve"> REF _Ref6581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【4】</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证实，体验型商品消费者对深度互动评论依赖度显著更高；Li 等（2020）</w:t>
      </w:r>
      <w:r>
        <w:rPr>
          <w:rFonts w:hint="default" w:ascii="宋体" w:hAnsi="宋体" w:eastAsia="宋体" w:cs="宋体"/>
          <w:color w:val="000000"/>
          <w:kern w:val="0"/>
          <w:sz w:val="21"/>
          <w:szCs w:val="21"/>
          <w:vertAlign w:val="superscript"/>
          <w:lang w:val="en-US" w:eastAsia="zh-CN" w:bidi="ar"/>
        </w:rPr>
        <w:fldChar w:fldCharType="begin"/>
      </w:r>
      <w:r>
        <w:instrText xml:space="preserve"> REF _Ref6039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【8】</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针对美妆领域研究提出，肤质个体差异大幅抬高试错成本，消费者极度渴求 “是否闷痘”“是否刺激敏感肌” 等商家不会主动披露的细节信息。现有美妆评论相关研究多采用心理学定性实验方法，量化实证层面缺少针对专属功效词汇的增量信息细分，未能定量测算商家未披露实测信息对商品销量的实际冲击。</w:t>
      </w:r>
    </w:p>
    <w:p w14:paraId="21B50E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color w:val="000000"/>
          <w:sz w:val="16"/>
          <w:szCs w:val="16"/>
        </w:rPr>
      </w:pPr>
    </w:p>
    <w:p w14:paraId="690289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color w:val="000000"/>
          <w:sz w:val="21"/>
          <w:szCs w:val="21"/>
        </w:rPr>
      </w:pPr>
      <w:r>
        <w:rPr>
          <w:rFonts w:hint="eastAsia"/>
          <w:color w:val="000000"/>
          <w:sz w:val="21"/>
          <w:szCs w:val="21"/>
          <w:lang w:val="en-US" w:eastAsia="zh-CN"/>
        </w:rPr>
        <w:t>1</w:t>
      </w:r>
      <w:r>
        <w:rPr>
          <w:color w:val="000000"/>
          <w:sz w:val="21"/>
          <w:szCs w:val="21"/>
        </w:rPr>
        <w:t>.3 评论情感极性与负面偏差效应</w:t>
      </w:r>
    </w:p>
    <w:p w14:paraId="74604A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jc w:val="left"/>
        <w:rPr>
          <w:color w:val="000000"/>
          <w:sz w:val="21"/>
          <w:szCs w:val="21"/>
        </w:rPr>
      </w:pPr>
      <w:r>
        <w:rPr>
          <w:rFonts w:ascii="宋体" w:hAnsi="宋体" w:eastAsia="宋体" w:cs="宋体"/>
          <w:color w:val="000000"/>
          <w:kern w:val="0"/>
          <w:sz w:val="21"/>
          <w:szCs w:val="21"/>
          <w:lang w:val="en-US" w:eastAsia="zh-CN" w:bidi="ar"/>
        </w:rPr>
        <w:t>消费心理学领域普遍存在负面偏差效应，Baumeister 等（2001）</w:t>
      </w:r>
      <w:r>
        <w:rPr>
          <w:rFonts w:hint="default" w:ascii="宋体" w:hAnsi="宋体" w:eastAsia="宋体" w:cs="宋体"/>
          <w:color w:val="000000"/>
          <w:kern w:val="0"/>
          <w:sz w:val="21"/>
          <w:szCs w:val="21"/>
          <w:vertAlign w:val="superscript"/>
          <w:lang w:val="en-US" w:eastAsia="zh-CN" w:bidi="ar"/>
        </w:rPr>
        <w:fldChar w:fldCharType="begin"/>
      </w:r>
      <w:r>
        <w:instrText xml:space="preserve"> REF _Ref6058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【6】</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提出负面信息心理穿透力显著强于同等体量正面信息；常亚平等（2016）</w:t>
      </w:r>
      <w:r>
        <w:rPr>
          <w:rFonts w:hint="default" w:ascii="宋体" w:hAnsi="宋体" w:eastAsia="宋体" w:cs="宋体"/>
          <w:color w:val="000000"/>
          <w:kern w:val="0"/>
          <w:sz w:val="21"/>
          <w:szCs w:val="21"/>
          <w:vertAlign w:val="superscript"/>
          <w:lang w:val="en-US" w:eastAsia="zh-CN" w:bidi="ar"/>
        </w:rPr>
        <w:fldChar w:fldCharType="begin"/>
      </w:r>
      <w:r>
        <w:instrText xml:space="preserve"> REF _Ref5990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【2】</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国内网购场景实证表明，笼统负面评论对购买意愿的抑制力度高于正面评论的促进力度。但过往研究存在场景适配缺陷：现有情感测度依托通用情感词典，未区分 “商家宣传式正面描述” 与 “用户实测正向增量信息”，同时未将卡粉、泛红、致痘等美妆专属负面增量信息单独剥离，无法对比真实实测正负反馈的差异化影响。</w:t>
      </w:r>
    </w:p>
    <w:p w14:paraId="471483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color w:val="000000"/>
          <w:sz w:val="16"/>
          <w:szCs w:val="16"/>
        </w:rPr>
      </w:pPr>
    </w:p>
    <w:p w14:paraId="0FAE21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color w:val="000000"/>
          <w:sz w:val="21"/>
          <w:szCs w:val="21"/>
        </w:rPr>
      </w:pPr>
      <w:r>
        <w:rPr>
          <w:rFonts w:hint="eastAsia"/>
          <w:color w:val="000000"/>
          <w:sz w:val="21"/>
          <w:szCs w:val="21"/>
          <w:lang w:val="en-US" w:eastAsia="zh-CN"/>
        </w:rPr>
        <w:t>1</w:t>
      </w:r>
      <w:r>
        <w:rPr>
          <w:color w:val="000000"/>
          <w:sz w:val="21"/>
          <w:szCs w:val="21"/>
        </w:rPr>
        <w:t>.4 文献综合缺口总结</w:t>
      </w:r>
    </w:p>
    <w:p w14:paraId="70318C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综合上述三类文献脉络，当前研究存在三处核心空白：第一，缺少针对垂直美妆品类、剔除商家重复宣传内容的增量信息密度量化指标，无法精准测度评论有效信息浓度；第二，未将增量信息拆分正向、负向实测体验两类维度，难以验证不同情感增量信息对销量的差异化作用；第三，普遍预设评论信息与销量单调线性相关，未考虑信息过载引发的决策犹豫，缺少非线性关系的系统性检验。本文针对上述缺口展开实证分析。</w:t>
      </w:r>
    </w:p>
    <w:p w14:paraId="6AC592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rPr>
          <w:rFonts w:ascii="宋体" w:hAnsi="宋体" w:eastAsia="宋体" w:cs="宋体"/>
          <w:color w:val="000000"/>
          <w:kern w:val="0"/>
          <w:sz w:val="21"/>
          <w:szCs w:val="21"/>
          <w:lang w:val="en-US" w:eastAsia="zh-CN" w:bidi="ar"/>
        </w:rPr>
      </w:pPr>
    </w:p>
    <w:p w14:paraId="792A1F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rPr>
          <w:rFonts w:hint="eastAsia" w:ascii="宋体" w:hAnsi="宋体" w:eastAsia="宋体" w:cs="宋体"/>
          <w:b/>
          <w:bCs/>
        </w:rPr>
      </w:pPr>
      <w:r>
        <w:rPr>
          <w:rFonts w:hint="eastAsia" w:ascii="宋体" w:hAnsi="宋体" w:eastAsia="宋体" w:cs="宋体"/>
          <w:b/>
          <w:bCs/>
        </w:rPr>
        <w:t>1.</w:t>
      </w:r>
      <w:r>
        <w:rPr>
          <w:rFonts w:hint="eastAsia" w:ascii="宋体" w:hAnsi="宋体" w:eastAsia="宋体" w:cs="宋体"/>
          <w:b/>
          <w:bCs/>
          <w:lang w:val="en-US" w:eastAsia="zh-CN"/>
        </w:rPr>
        <w:t>5</w:t>
      </w:r>
      <w:r>
        <w:rPr>
          <w:rFonts w:hint="eastAsia" w:ascii="宋体" w:hAnsi="宋体" w:eastAsia="宋体" w:cs="宋体"/>
          <w:b/>
          <w:bCs/>
        </w:rPr>
        <w:t xml:space="preserve"> 研究问题</w:t>
      </w:r>
    </w:p>
    <w:p w14:paraId="300F39BF">
      <w:pPr>
        <w:spacing w:line="360" w:lineRule="auto"/>
        <w:ind w:firstLine="420" w:firstLineChars="200"/>
        <w:rPr>
          <w:rFonts w:hint="eastAsia" w:ascii="宋体" w:hAnsi="宋体" w:eastAsia="宋体" w:cs="宋体"/>
        </w:rPr>
      </w:pPr>
      <w:r>
        <w:rPr>
          <w:rFonts w:hint="eastAsia" w:ascii="宋体" w:hAnsi="宋体" w:eastAsia="宋体" w:cs="宋体"/>
          <w:lang w:val="en-US" w:eastAsia="zh-CN"/>
        </w:rPr>
        <w:t>基于此，</w:t>
      </w:r>
      <w:r>
        <w:rPr>
          <w:rFonts w:hint="eastAsia" w:ascii="宋体" w:hAnsi="宋体" w:eastAsia="宋体" w:cs="宋体"/>
        </w:rPr>
        <w:t>结合文本挖掘与计量经济学方法，本研究聚焦美妆类目，重点探讨以下三个核心问题：</w:t>
      </w:r>
    </w:p>
    <w:p w14:paraId="43E2B820">
      <w:pPr>
        <w:numPr>
          <w:ilvl w:val="0"/>
          <w:numId w:val="0"/>
        </w:numPr>
        <w:spacing w:line="360" w:lineRule="auto"/>
        <w:ind w:firstLine="420" w:firstLineChars="200"/>
        <w:rPr>
          <w:rFonts w:hint="eastAsia" w:ascii="宋体" w:hAnsi="宋体" w:eastAsia="宋体" w:cs="宋体"/>
        </w:rPr>
      </w:pPr>
      <w:r>
        <w:rPr>
          <w:rFonts w:hint="eastAsia" w:ascii="宋体" w:hAnsi="宋体" w:eastAsia="宋体" w:cs="宋体"/>
          <w:kern w:val="2"/>
          <w:sz w:val="21"/>
          <w:szCs w:val="24"/>
          <w:lang w:val="en-US" w:eastAsia="zh-CN" w:bidi="ar-SA"/>
        </w:rPr>
        <w:t>1）</w:t>
      </w:r>
      <w:r>
        <w:rPr>
          <w:rFonts w:hint="eastAsia" w:ascii="宋体" w:hAnsi="宋体" w:eastAsia="宋体" w:cs="宋体"/>
        </w:rPr>
        <w:t>剔除噪音文本后，评论中的“增量信息占比（即密度）”如何实质性地影响美妆商品销量？</w:t>
      </w:r>
    </w:p>
    <w:p w14:paraId="1DC06610">
      <w:pPr>
        <w:numPr>
          <w:ilvl w:val="0"/>
          <w:numId w:val="0"/>
        </w:numPr>
        <w:spacing w:line="360" w:lineRule="auto"/>
        <w:ind w:firstLine="420" w:firstLineChars="200"/>
        <w:rPr>
          <w:rFonts w:hint="eastAsia" w:ascii="宋体" w:hAnsi="宋体" w:eastAsia="宋体" w:cs="宋体"/>
        </w:rPr>
      </w:pPr>
      <w:r>
        <w:rPr>
          <w:rFonts w:hint="eastAsia" w:ascii="宋体" w:hAnsi="宋体" w:eastAsia="宋体" w:cs="宋体"/>
          <w:kern w:val="2"/>
          <w:sz w:val="21"/>
          <w:szCs w:val="24"/>
          <w:lang w:val="en-US" w:eastAsia="zh-CN" w:bidi="ar-SA"/>
        </w:rPr>
        <w:t>2）</w:t>
      </w:r>
      <w:r>
        <w:rPr>
          <w:rFonts w:hint="eastAsia" w:ascii="宋体" w:hAnsi="宋体" w:eastAsia="宋体" w:cs="宋体"/>
        </w:rPr>
        <w:t>在情感异质性视角下，正向增量体验与负向增量体验对销量的影响是否存在非对称性？</w:t>
      </w:r>
    </w:p>
    <w:p w14:paraId="320A7CFE">
      <w:pPr>
        <w:numPr>
          <w:ilvl w:val="0"/>
          <w:numId w:val="0"/>
        </w:numPr>
        <w:spacing w:line="360" w:lineRule="auto"/>
        <w:ind w:firstLine="420" w:firstLineChars="200"/>
        <w:rPr>
          <w:rFonts w:hint="eastAsia" w:ascii="宋体" w:hAnsi="宋体" w:eastAsia="宋体" w:cs="宋体"/>
        </w:rPr>
      </w:pPr>
      <w:r>
        <w:rPr>
          <w:rFonts w:hint="eastAsia" w:ascii="宋体" w:hAnsi="宋体" w:eastAsia="宋体" w:cs="宋体"/>
          <w:kern w:val="2"/>
          <w:sz w:val="21"/>
          <w:szCs w:val="24"/>
          <w:lang w:val="en-US" w:eastAsia="zh-CN" w:bidi="ar-SA"/>
        </w:rPr>
        <w:t>3）</w:t>
      </w:r>
      <w:r>
        <w:rPr>
          <w:rFonts w:hint="eastAsia" w:ascii="宋体" w:hAnsi="宋体" w:eastAsia="宋体" w:cs="宋体"/>
        </w:rPr>
        <w:t>“真实购买（Verified Purchase）”标签与商品所处的价格区间，在上述影响机制中发挥了怎样的调节作用？</w:t>
      </w:r>
    </w:p>
    <w:p w14:paraId="703EAB04">
      <w:pPr>
        <w:pStyle w:val="3"/>
        <w:spacing w:beforeAutospacing="0" w:afterAutospacing="0" w:line="360" w:lineRule="auto"/>
        <w:rPr>
          <w:rFonts w:hint="eastAsia"/>
          <w:lang w:val="en-US" w:eastAsia="zh-CN"/>
        </w:rPr>
      </w:pPr>
    </w:p>
    <w:p w14:paraId="1DFA2DED">
      <w:pPr>
        <w:pStyle w:val="3"/>
        <w:spacing w:beforeAutospacing="0" w:afterAutospacing="0" w:line="360" w:lineRule="auto"/>
      </w:pPr>
      <w:r>
        <w:rPr>
          <w:rFonts w:hint="eastAsia"/>
          <w:lang w:val="en-US" w:eastAsia="zh-CN"/>
        </w:rPr>
        <w:t xml:space="preserve">2 </w:t>
      </w:r>
      <w:r>
        <w:t>理论基础与</w:t>
      </w:r>
      <w:r>
        <w:rPr>
          <w:rFonts w:hint="eastAsia"/>
          <w:lang w:val="en-US" w:eastAsia="zh-CN"/>
        </w:rPr>
        <w:t>研究</w:t>
      </w:r>
      <w:r>
        <w:t>假设推导</w:t>
      </w:r>
    </w:p>
    <w:p w14:paraId="7639C3A5">
      <w:pPr>
        <w:pStyle w:val="4"/>
        <w:spacing w:beforeAutospacing="0" w:afterAutospacing="0" w:line="360" w:lineRule="auto"/>
        <w:ind w:firstLine="420" w:firstLineChars="200"/>
        <w:rPr>
          <w:rFonts w:hint="eastAsia"/>
          <w:b w:val="0"/>
          <w:bCs w:val="0"/>
          <w:sz w:val="21"/>
          <w:szCs w:val="21"/>
          <w:lang w:val="en-US" w:eastAsia="zh-CN"/>
        </w:rPr>
      </w:pPr>
      <w:r>
        <w:rPr>
          <w:rFonts w:ascii="宋体" w:hAnsi="宋体" w:eastAsia="宋体" w:cs="宋体"/>
          <w:b w:val="0"/>
          <w:bCs w:val="0"/>
          <w:sz w:val="21"/>
          <w:szCs w:val="21"/>
        </w:rPr>
        <w:t>本文依托信息不对称理论、信号传递理论、信息价值理论搭建整体分析框架，完整推导增量信息密度、情感异质性、调节变量对应的研究假设，所有假设均完整阐释内在作用逻辑、预期影响方向与对应的理论支撑。</w:t>
      </w:r>
    </w:p>
    <w:p w14:paraId="00DA1DAD">
      <w:pPr>
        <w:pStyle w:val="4"/>
        <w:spacing w:beforeAutospacing="0" w:afterAutospacing="0" w:line="360" w:lineRule="auto"/>
        <w:rPr>
          <w:rFonts w:hint="eastAsia"/>
          <w:sz w:val="21"/>
          <w:szCs w:val="21"/>
          <w:lang w:val="en-US" w:eastAsia="zh-CN"/>
        </w:rPr>
      </w:pPr>
    </w:p>
    <w:p w14:paraId="2E0ACC42">
      <w:pPr>
        <w:pStyle w:val="4"/>
        <w:spacing w:beforeAutospacing="0" w:afterAutospacing="0" w:line="360" w:lineRule="auto"/>
        <w:rPr>
          <w:sz w:val="21"/>
          <w:szCs w:val="21"/>
        </w:rPr>
      </w:pPr>
      <w:r>
        <w:rPr>
          <w:rFonts w:hint="eastAsia"/>
          <w:sz w:val="21"/>
          <w:szCs w:val="21"/>
          <w:lang w:val="en-US" w:eastAsia="zh-CN"/>
        </w:rPr>
        <w:t>2</w:t>
      </w:r>
      <w:r>
        <w:rPr>
          <w:sz w:val="21"/>
          <w:szCs w:val="21"/>
        </w:rPr>
        <w:t>.1 增量信息密度对销量的影响</w:t>
      </w:r>
    </w:p>
    <w:p w14:paraId="120B1B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jc w:val="left"/>
        <w:rPr>
          <w:color w:val="000000"/>
          <w:sz w:val="21"/>
          <w:szCs w:val="21"/>
        </w:rPr>
      </w:pPr>
      <w:r>
        <w:rPr>
          <w:rFonts w:ascii="宋体" w:hAnsi="宋体" w:eastAsia="宋体" w:cs="宋体"/>
          <w:color w:val="000000"/>
          <w:kern w:val="0"/>
          <w:sz w:val="21"/>
          <w:szCs w:val="21"/>
          <w:lang w:val="en-US" w:eastAsia="zh-CN" w:bidi="ar"/>
        </w:rPr>
        <w:t>Akerlof（1970）</w:t>
      </w:r>
      <w:r>
        <w:rPr>
          <w:rFonts w:hint="default" w:ascii="宋体" w:hAnsi="宋体" w:eastAsia="宋体" w:cs="宋体"/>
          <w:color w:val="000000"/>
          <w:kern w:val="0"/>
          <w:sz w:val="21"/>
          <w:szCs w:val="21"/>
          <w:vertAlign w:val="superscript"/>
          <w:lang w:val="en-US" w:eastAsia="zh-CN" w:bidi="ar"/>
        </w:rPr>
        <w:fldChar w:fldCharType="begin"/>
      </w:r>
      <w:r>
        <w:instrText xml:space="preserve"> REF _Ref5846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【5】</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提出的信息不对称理论指出，商品卖方天然掌握产品私有信息，美妆商家存在主动夸大产品功效、刻意隐瞒肤质适配缺陷的营销动机，商品详情页仅输出标准化正面宣传内容，市场内部长期存在稳定的信息供给缺口。在线评论中由真实买家产出的增量信息能够弥补商家宣传盲区，而信息价值理论进一步明确，一段评论文本对消费者的决策效用不由总字符长度决定，核心取决于其中新增、未被商家覆盖的有效体验信息占比。</w:t>
      </w:r>
    </w:p>
    <w:p w14:paraId="0D041C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jc w:val="left"/>
        <w:rPr>
          <w:rFonts w:hint="default"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当增量信息密度处于较低水平区间时，消费者能够获取的专属实测细节十分有限，提升增量信息占比可以持续缓解消费者对产品质量的感知不确定性，降低信息搜寻成本，最终正向拉动商品销量；一旦增量信息密度突破临界阈值，评论中会同步暴露大量肤质局限、使用短板等细分负面细节，消费者需要投入更多认知成本对比自身情况，信息过载会加剧购买犹豫，甚至放大产品缺陷感知，削弱购买意愿。基于上述完整理论推演，增量信息密度对美妆商品销量呈现先促进、后抑制的倒 U 型非线性作用，本文直接构建含二次项的计量模型捕捉该特征，不再设置线性对照模型，由此提出假设 H</w:t>
      </w:r>
      <w:r>
        <w:rPr>
          <w:rFonts w:hint="eastAsia" w:ascii="宋体" w:hAnsi="宋体" w:eastAsia="宋体" w:cs="宋体"/>
          <w:color w:val="000000"/>
          <w:kern w:val="0"/>
          <w:sz w:val="21"/>
          <w:szCs w:val="21"/>
          <w:lang w:val="en-US" w:eastAsia="zh-CN" w:bidi="ar"/>
        </w:rPr>
        <w:t>1。</w:t>
      </w:r>
    </w:p>
    <w:p w14:paraId="0A3AAE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jc w:val="left"/>
        <w:rPr>
          <w:color w:val="000000"/>
          <w:sz w:val="21"/>
          <w:szCs w:val="21"/>
        </w:rPr>
      </w:pPr>
      <w:r>
        <w:rPr>
          <w:rFonts w:ascii="宋体" w:hAnsi="宋体" w:eastAsia="宋体" w:cs="宋体"/>
          <w:color w:val="000000"/>
          <w:kern w:val="0"/>
          <w:sz w:val="21"/>
          <w:szCs w:val="21"/>
          <w:lang w:val="en-US" w:eastAsia="zh-CN" w:bidi="ar"/>
        </w:rPr>
        <w:t>H1 增量信息密度与美妆商品销量存在显著倒 U 型关系，增量信息密度一次项回归系数显著为正，二次项回归系数显著为负。</w:t>
      </w:r>
    </w:p>
    <w:p w14:paraId="5833AD0D">
      <w:pPr>
        <w:pStyle w:val="4"/>
        <w:spacing w:beforeAutospacing="0" w:afterAutospacing="0" w:line="360" w:lineRule="auto"/>
        <w:rPr>
          <w:rFonts w:hint="eastAsia"/>
          <w:sz w:val="21"/>
          <w:szCs w:val="21"/>
          <w:lang w:val="en-US" w:eastAsia="zh-CN"/>
        </w:rPr>
      </w:pPr>
    </w:p>
    <w:p w14:paraId="76646DA5">
      <w:pPr>
        <w:pStyle w:val="4"/>
        <w:spacing w:beforeAutospacing="0" w:afterAutospacing="0" w:line="360" w:lineRule="auto"/>
        <w:rPr>
          <w:sz w:val="21"/>
          <w:szCs w:val="21"/>
        </w:rPr>
      </w:pPr>
      <w:r>
        <w:rPr>
          <w:rFonts w:hint="eastAsia"/>
          <w:sz w:val="21"/>
          <w:szCs w:val="21"/>
          <w:lang w:val="en-US" w:eastAsia="zh-CN"/>
        </w:rPr>
        <w:t>2</w:t>
      </w:r>
      <w:r>
        <w:rPr>
          <w:sz w:val="21"/>
          <w:szCs w:val="21"/>
        </w:rPr>
        <w:t>.2 情感异质性的非对称冲击</w:t>
      </w:r>
    </w:p>
    <w:p w14:paraId="5C48AD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jc w:val="left"/>
        <w:rPr>
          <w:color w:val="000000"/>
          <w:sz w:val="21"/>
          <w:szCs w:val="21"/>
        </w:rPr>
      </w:pPr>
      <w:r>
        <w:rPr>
          <w:rFonts w:ascii="宋体" w:hAnsi="宋体" w:eastAsia="宋体" w:cs="宋体"/>
          <w:color w:val="000000"/>
          <w:kern w:val="0"/>
          <w:sz w:val="21"/>
          <w:szCs w:val="21"/>
          <w:lang w:val="en-US" w:eastAsia="zh-CN" w:bidi="ar"/>
        </w:rPr>
        <w:t>Spence（1973）</w:t>
      </w:r>
      <w:r>
        <w:rPr>
          <w:rFonts w:hint="default" w:ascii="宋体" w:hAnsi="宋体" w:eastAsia="宋体" w:cs="宋体"/>
          <w:color w:val="000000"/>
          <w:kern w:val="0"/>
          <w:sz w:val="21"/>
          <w:szCs w:val="21"/>
          <w:vertAlign w:val="superscript"/>
          <w:lang w:val="en-US" w:eastAsia="zh-CN" w:bidi="ar"/>
        </w:rPr>
        <w:fldChar w:fldCharType="begin"/>
      </w:r>
      <w:r>
        <w:instrText xml:space="preserve"> REF _Ref6094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【11】</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的信号传递理论为情感异质性分析提供核心支撑，信号对决策的影响强度由信号自身可信度决定。正向增量信息来源于消费者真实使用后的客观体验描述，区别于商家统一标准化营销话术，具备更高可信信号属性，能够向潜在买家传递产品优质的稳定信号，理论上会显著提升商品销量。</w:t>
      </w:r>
    </w:p>
    <w:p w14:paraId="2F4660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 xml:space="preserve">结合消费心理学负面偏差理论，包含闷痘、刺痛、卡粉内容的负向增量信息直接揭露产品适配短板，具备极强风险诊断价值，理论层面预期会抑制消费者购买行为。但美妆产品功效适配存在极强个体差异，单一负面反馈仅针对特定肤质人群，不代表产品整体存在质量缺陷；同时少量具象化负面增量信息能够消解消费者对全好评水军评论的防备心理，提升整条评论区的真实感知，形成辅助信任信号，因此负向增量信息不一定单纯降低销量，两类增量信息对销量的作用强度存在明显差异，据此提出假设 H2。 </w:t>
      </w:r>
    </w:p>
    <w:p w14:paraId="7B6DD2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jc w:val="left"/>
        <w:rPr>
          <w:color w:val="000000"/>
          <w:sz w:val="21"/>
          <w:szCs w:val="21"/>
        </w:rPr>
      </w:pPr>
      <w:r>
        <w:rPr>
          <w:rFonts w:ascii="宋体" w:hAnsi="宋体" w:eastAsia="宋体" w:cs="宋体"/>
          <w:color w:val="000000"/>
          <w:kern w:val="0"/>
          <w:sz w:val="21"/>
          <w:szCs w:val="21"/>
          <w:lang w:val="en-US" w:eastAsia="zh-CN" w:bidi="ar"/>
        </w:rPr>
        <w:t>H2 正向增量信息总量对美妆商品销量存在显著正向影响；负向增量信息总量同样与商品销量呈正向关联，且二者回归系数大小存在统计学层面的显著差异。</w:t>
      </w:r>
    </w:p>
    <w:p w14:paraId="2956CAE0">
      <w:pPr>
        <w:pStyle w:val="4"/>
        <w:spacing w:beforeAutospacing="0" w:afterAutospacing="0" w:line="360" w:lineRule="auto"/>
        <w:rPr>
          <w:rFonts w:hint="eastAsia"/>
          <w:sz w:val="21"/>
          <w:szCs w:val="21"/>
          <w:lang w:val="en-US" w:eastAsia="zh-CN"/>
        </w:rPr>
      </w:pPr>
    </w:p>
    <w:p w14:paraId="42FD6E59">
      <w:pPr>
        <w:pStyle w:val="4"/>
        <w:spacing w:beforeAutospacing="0" w:afterAutospacing="0" w:line="360" w:lineRule="auto"/>
        <w:rPr>
          <w:sz w:val="21"/>
          <w:szCs w:val="21"/>
        </w:rPr>
      </w:pPr>
      <w:r>
        <w:rPr>
          <w:rFonts w:hint="eastAsia"/>
          <w:sz w:val="21"/>
          <w:szCs w:val="21"/>
          <w:lang w:val="en-US" w:eastAsia="zh-CN"/>
        </w:rPr>
        <w:t>2</w:t>
      </w:r>
      <w:r>
        <w:rPr>
          <w:sz w:val="21"/>
          <w:szCs w:val="21"/>
        </w:rPr>
        <w:t>.3 真实购买（Verified Purchase）的调节作用</w:t>
      </w:r>
    </w:p>
    <w:p w14:paraId="09E6D2BD">
      <w:pPr>
        <w:spacing w:line="360" w:lineRule="auto"/>
        <w:ind w:firstLine="420" w:firstLineChars="200"/>
        <w:rPr>
          <w:rFonts w:ascii="宋体" w:hAnsi="宋体" w:eastAsia="宋体" w:cs="宋体"/>
          <w:sz w:val="21"/>
          <w:szCs w:val="21"/>
        </w:rPr>
      </w:pPr>
      <w:r>
        <w:rPr>
          <w:rFonts w:ascii="宋体" w:hAnsi="宋体" w:eastAsia="宋体" w:cs="宋体"/>
          <w:sz w:val="21"/>
          <w:szCs w:val="21"/>
        </w:rPr>
        <w:t>信号传递理论</w:t>
      </w:r>
      <w:r>
        <w:rPr>
          <w:rFonts w:hint="default" w:ascii="宋体" w:hAnsi="宋体" w:eastAsia="宋体" w:cs="宋体"/>
          <w:sz w:val="21"/>
          <w:szCs w:val="21"/>
          <w:vertAlign w:val="superscript"/>
          <w:lang w:val="en-US"/>
        </w:rPr>
        <w:fldChar w:fldCharType="begin"/>
      </w:r>
      <w:r>
        <w:instrText xml:space="preserve"> REF _Ref6094 \r \h  \* MERGEFORMAT</w:instrText>
      </w:r>
      <w:r>
        <w:rPr>
          <w:rFonts w:hint="default" w:ascii="宋体" w:hAnsi="宋体" w:eastAsia="宋体" w:cs="宋体"/>
          <w:sz w:val="21"/>
          <w:szCs w:val="21"/>
          <w:vertAlign w:val="superscript"/>
          <w:lang w:val="en-US"/>
        </w:rPr>
        <w:fldChar w:fldCharType="separate"/>
      </w:r>
      <w:r>
        <w:rPr>
          <w:rFonts w:hint="default" w:ascii="宋体" w:hAnsi="宋体" w:eastAsia="宋体" w:cs="宋体"/>
          <w:sz w:val="21"/>
          <w:szCs w:val="21"/>
          <w:vertAlign w:val="superscript"/>
          <w:lang w:val="en-US"/>
        </w:rPr>
        <w:t>【11】</w:t>
      </w:r>
      <w:r>
        <w:rPr>
          <w:rFonts w:hint="default" w:ascii="宋体" w:hAnsi="宋体" w:eastAsia="宋体" w:cs="宋体"/>
          <w:sz w:val="21"/>
          <w:szCs w:val="21"/>
          <w:vertAlign w:val="superscript"/>
          <w:lang w:val="en-US"/>
        </w:rPr>
        <w:fldChar w:fldCharType="end"/>
      </w:r>
      <w:r>
        <w:rPr>
          <w:rFonts w:ascii="宋体" w:hAnsi="宋体" w:eastAsia="宋体" w:cs="宋体"/>
          <w:sz w:val="21"/>
          <w:szCs w:val="21"/>
        </w:rPr>
        <w:t xml:space="preserve">核心逻辑表明，信号可信度会改变信号本身对消费决策的作用强度。平台标注的 verified_purchase 真实购买标识可以区分普通游客评论与完成下单的真实买家评论，有效过滤商家付费水军产出的虚假内容，提升增量信息的信号可信度。当商品整体真实购买评论占比更高时，消费者会默认评论内的增量细节为客观实测结论，放大增量信息密度对销量的正向拉动效果；若真实购买占比偏低，消费者容易将高密度体验描述判定为营销推广内容，削弱增量信息的信号价值。真实购买占比会改变增量信息密度与销量之间倒 U 曲线的整体形态，存在调节作用，据此提出假设 H3。 </w:t>
      </w:r>
    </w:p>
    <w:p w14:paraId="73698110">
      <w:pPr>
        <w:spacing w:line="360" w:lineRule="auto"/>
        <w:ind w:firstLine="420" w:firstLineChars="200"/>
        <w:rPr>
          <w:rFonts w:hint="eastAsia" w:ascii="宋体" w:hAnsi="宋体" w:eastAsia="宋体" w:cs="宋体"/>
          <w:sz w:val="21"/>
          <w:szCs w:val="21"/>
        </w:rPr>
      </w:pPr>
      <w:r>
        <w:rPr>
          <w:rFonts w:ascii="宋体" w:hAnsi="宋体" w:eastAsia="宋体" w:cs="宋体"/>
          <w:sz w:val="21"/>
          <w:szCs w:val="21"/>
        </w:rPr>
        <w:t>H3 真实购买评论占比对增量信息密度与商品销量的倒 U 型关系存在显著调节作用，在高真实购买占比样本中，增量信息密度带来的正向促进效应更强。</w:t>
      </w:r>
    </w:p>
    <w:p w14:paraId="7CF4EECF">
      <w:pPr>
        <w:spacing w:line="360" w:lineRule="auto"/>
        <w:ind w:firstLine="420" w:firstLineChars="200"/>
        <w:rPr>
          <w:rFonts w:hint="eastAsia" w:ascii="宋体" w:hAnsi="宋体" w:eastAsia="宋体" w:cs="宋体"/>
        </w:rPr>
      </w:pPr>
    </w:p>
    <w:p w14:paraId="2772ABDF">
      <w:pPr>
        <w:spacing w:line="360" w:lineRule="auto"/>
        <w:rPr>
          <w:rFonts w:hint="eastAsia" w:ascii="宋体" w:hAnsi="宋体" w:eastAsia="宋体" w:cs="宋体"/>
          <w:b/>
          <w:bCs/>
        </w:rPr>
      </w:pPr>
      <w:r>
        <w:rPr>
          <w:rFonts w:hint="eastAsia" w:ascii="宋体" w:hAnsi="宋体" w:eastAsia="宋体" w:cs="宋体"/>
          <w:b/>
          <w:bCs/>
          <w:lang w:val="en-US" w:eastAsia="zh-CN"/>
        </w:rPr>
        <w:t>2</w:t>
      </w:r>
      <w:r>
        <w:rPr>
          <w:rFonts w:hint="eastAsia" w:ascii="宋体" w:hAnsi="宋体" w:eastAsia="宋体" w:cs="宋体"/>
          <w:b/>
          <w:bCs/>
        </w:rPr>
        <w:t>.4 价格异质性的调节作用</w:t>
      </w:r>
    </w:p>
    <w:p w14:paraId="68AE5538">
      <w:pPr>
        <w:pStyle w:val="4"/>
        <w:spacing w:beforeAutospacing="0" w:afterAutospacing="0" w:line="360" w:lineRule="auto"/>
        <w:ind w:firstLine="420" w:firstLineChars="200"/>
        <w:rPr>
          <w:rFonts w:ascii="宋体" w:hAnsi="宋体" w:eastAsia="宋体" w:cs="宋体"/>
          <w:b w:val="0"/>
          <w:bCs w:val="0"/>
          <w:sz w:val="21"/>
          <w:szCs w:val="21"/>
        </w:rPr>
      </w:pPr>
      <w:r>
        <w:rPr>
          <w:rFonts w:ascii="宋体" w:hAnsi="宋体" w:eastAsia="宋体" w:cs="宋体"/>
          <w:b w:val="0"/>
          <w:bCs w:val="0"/>
          <w:sz w:val="21"/>
          <w:szCs w:val="21"/>
        </w:rPr>
        <w:t>Stigler 提出的信息搜寻理论</w:t>
      </w:r>
      <w:r>
        <w:rPr>
          <w:rFonts w:hint="eastAsia" w:ascii="宋体" w:hAnsi="宋体" w:eastAsia="宋体" w:cs="宋体"/>
          <w:b w:val="0"/>
          <w:bCs w:val="0"/>
          <w:sz w:val="21"/>
          <w:szCs w:val="21"/>
          <w:vertAlign w:val="superscript"/>
          <w:lang w:eastAsia="zh-CN"/>
        </w:rPr>
        <w:fldChar w:fldCharType="begin"/>
      </w:r>
      <w:r>
        <w:instrText xml:space="preserve"> REF _Ref5640 \r \h  \* MERGEFORMAT</w:instrText>
      </w:r>
      <w:r>
        <w:rPr>
          <w:rFonts w:hint="eastAsia" w:ascii="宋体" w:hAnsi="宋体" w:eastAsia="宋体" w:cs="宋体"/>
          <w:b w:val="0"/>
          <w:bCs w:val="0"/>
          <w:sz w:val="21"/>
          <w:szCs w:val="21"/>
          <w:vertAlign w:val="superscript"/>
          <w:lang w:eastAsia="zh-CN"/>
        </w:rPr>
        <w:fldChar w:fldCharType="separate"/>
      </w:r>
      <w:r>
        <w:rPr>
          <w:rFonts w:hint="eastAsia" w:ascii="宋体" w:hAnsi="宋体" w:eastAsia="宋体" w:cs="宋体"/>
          <w:b w:val="0"/>
          <w:bCs w:val="0"/>
          <w:sz w:val="21"/>
          <w:szCs w:val="21"/>
          <w:vertAlign w:val="superscript"/>
          <w:lang w:eastAsia="zh-CN"/>
        </w:rPr>
        <w:t>【10】</w:t>
      </w:r>
      <w:r>
        <w:rPr>
          <w:rFonts w:hint="eastAsia" w:ascii="宋体" w:hAnsi="宋体" w:eastAsia="宋体" w:cs="宋体"/>
          <w:b w:val="0"/>
          <w:bCs w:val="0"/>
          <w:sz w:val="21"/>
          <w:szCs w:val="21"/>
          <w:vertAlign w:val="superscript"/>
          <w:lang w:eastAsia="zh-CN"/>
        </w:rPr>
        <w:fldChar w:fldCharType="end"/>
      </w:r>
      <w:r>
        <w:rPr>
          <w:rFonts w:ascii="宋体" w:hAnsi="宋体" w:eastAsia="宋体" w:cs="宋体"/>
          <w:b w:val="0"/>
          <w:bCs w:val="0"/>
          <w:sz w:val="21"/>
          <w:szCs w:val="21"/>
        </w:rPr>
        <w:t xml:space="preserve">指出，消费者愿意投入的信息甄别时间，由商品试错成本高低决定。高价美妆产品购买支出更高，消费者为规避大额损失会主动深度挖掘评论内各类细分增量信息；低价美妆单品试错成本低，消费者更容易产生冲动消费，对肤质、持久度等精细化增量信息依赖程度更低。由此预期高价样本中增量信息密度的边际促进力度更强，价格分组虚拟变量与增量信息密度交互项显著为正，提出假设 H4。 </w:t>
      </w:r>
    </w:p>
    <w:p w14:paraId="1D15D0A9">
      <w:pPr>
        <w:pStyle w:val="4"/>
        <w:spacing w:beforeAutospacing="0" w:afterAutospacing="0" w:line="360" w:lineRule="auto"/>
        <w:ind w:firstLine="420" w:firstLineChars="200"/>
        <w:rPr>
          <w:rFonts w:ascii="宋体" w:hAnsi="宋体" w:eastAsia="宋体" w:cs="宋体"/>
          <w:b w:val="0"/>
          <w:bCs w:val="0"/>
          <w:sz w:val="21"/>
          <w:szCs w:val="21"/>
        </w:rPr>
      </w:pPr>
      <w:r>
        <w:rPr>
          <w:rFonts w:ascii="宋体" w:hAnsi="宋体" w:eastAsia="宋体" w:cs="宋体"/>
          <w:b w:val="0"/>
          <w:bCs w:val="0"/>
          <w:sz w:val="21"/>
          <w:szCs w:val="21"/>
        </w:rPr>
        <w:t>H4 商品价格对增量信息密度的销量效应存在异质性调节作用，高价美妆商品样本中，增量信息密度对销量的正向影响显著高于低价商品样本。</w:t>
      </w:r>
    </w:p>
    <w:p w14:paraId="4CE079F3">
      <w:pPr>
        <w:spacing w:line="360" w:lineRule="auto"/>
        <w:rPr>
          <w:rFonts w:ascii="宋体" w:hAnsi="宋体" w:eastAsia="宋体" w:cs="宋体"/>
          <w:b w:val="0"/>
          <w:bCs w:val="0"/>
          <w:sz w:val="21"/>
          <w:szCs w:val="21"/>
        </w:rPr>
      </w:pPr>
    </w:p>
    <w:p w14:paraId="2775C6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color w:val="000000"/>
          <w:sz w:val="21"/>
          <w:szCs w:val="21"/>
        </w:rPr>
      </w:pPr>
      <w:r>
        <w:rPr>
          <w:rFonts w:hint="eastAsia"/>
          <w:color w:val="000000"/>
          <w:sz w:val="21"/>
          <w:szCs w:val="21"/>
          <w:lang w:val="en-US" w:eastAsia="zh-CN"/>
        </w:rPr>
        <w:t>2</w:t>
      </w:r>
      <w:r>
        <w:rPr>
          <w:color w:val="000000"/>
          <w:sz w:val="21"/>
          <w:szCs w:val="21"/>
        </w:rPr>
        <w:t>.5 控制变量选取理论依据</w:t>
      </w:r>
    </w:p>
    <w:p w14:paraId="246D11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本文选取商品平均评分、商品价格、用户活跃度作为控制变量</w:t>
      </w:r>
      <w:r>
        <w:rPr>
          <w:rFonts w:hint="default" w:ascii="宋体" w:hAnsi="宋体" w:eastAsia="宋体" w:cs="宋体"/>
          <w:color w:val="000000"/>
          <w:kern w:val="0"/>
          <w:sz w:val="21"/>
          <w:szCs w:val="21"/>
          <w:vertAlign w:val="superscript"/>
          <w:lang w:val="en-US" w:eastAsia="zh-CN" w:bidi="ar"/>
        </w:rPr>
        <w:fldChar w:fldCharType="begin"/>
      </w:r>
      <w:r>
        <w:instrText xml:space="preserve"> REF _Ref5928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【7】</w:t>
      </w:r>
      <w:r>
        <w:rPr>
          <w:rFonts w:hint="default" w:ascii="宋体" w:hAnsi="宋体" w:eastAsia="宋体" w:cs="宋体"/>
          <w:color w:val="000000"/>
          <w:kern w:val="0"/>
          <w:sz w:val="21"/>
          <w:szCs w:val="21"/>
          <w:vertAlign w:val="superscript"/>
          <w:lang w:val="en-US" w:eastAsia="zh-CN" w:bidi="ar"/>
        </w:rPr>
        <w:fldChar w:fldCharType="end"/>
      </w:r>
      <w:r>
        <w:rPr>
          <w:rFonts w:hint="default" w:ascii="宋体" w:hAnsi="宋体" w:eastAsia="宋体" w:cs="宋体"/>
          <w:color w:val="000000"/>
          <w:kern w:val="0"/>
          <w:sz w:val="21"/>
          <w:szCs w:val="21"/>
          <w:vertAlign w:val="superscript"/>
          <w:lang w:val="en-US" w:eastAsia="zh-CN" w:bidi="ar"/>
        </w:rPr>
        <w:fldChar w:fldCharType="begin"/>
      </w:r>
      <w:r>
        <w:instrText xml:space="preserve"> REF _Ref5957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【9】</w:t>
      </w:r>
      <w:r>
        <w:rPr>
          <w:rFonts w:hint="default" w:ascii="宋体" w:hAnsi="宋体" w:eastAsia="宋体" w:cs="宋体"/>
          <w:color w:val="000000"/>
          <w:kern w:val="0"/>
          <w:sz w:val="21"/>
          <w:szCs w:val="21"/>
          <w:vertAlign w:val="superscript"/>
          <w:lang w:val="en-US" w:eastAsia="zh-CN" w:bidi="ar"/>
        </w:rPr>
        <w:fldChar w:fldCharType="end"/>
      </w:r>
      <w:r>
        <w:rPr>
          <w:rFonts w:hint="default" w:ascii="宋体" w:hAnsi="宋体" w:eastAsia="宋体" w:cs="宋体"/>
          <w:color w:val="000000"/>
          <w:kern w:val="0"/>
          <w:sz w:val="21"/>
          <w:szCs w:val="21"/>
          <w:vertAlign w:val="superscript"/>
          <w:lang w:val="en-US" w:eastAsia="zh-CN" w:bidi="ar"/>
        </w:rPr>
        <w:fldChar w:fldCharType="begin"/>
      </w:r>
      <w:r>
        <w:instrText xml:space="preserve"> REF _Ref5640 \r \h  \* MERGEFORMAT</w:instrText>
      </w:r>
      <w:r>
        <w:rPr>
          <w:rFonts w:hint="default" w:ascii="宋体" w:hAnsi="宋体" w:eastAsia="宋体" w:cs="宋体"/>
          <w:color w:val="000000"/>
          <w:kern w:val="0"/>
          <w:sz w:val="21"/>
          <w:szCs w:val="21"/>
          <w:vertAlign w:val="superscript"/>
          <w:lang w:val="en-US" w:eastAsia="zh-CN" w:bidi="ar"/>
        </w:rPr>
        <w:fldChar w:fldCharType="separate"/>
      </w:r>
      <w:r>
        <w:rPr>
          <w:rFonts w:hint="default" w:ascii="宋体" w:hAnsi="宋体" w:eastAsia="宋体" w:cs="宋体"/>
          <w:color w:val="000000"/>
          <w:kern w:val="0"/>
          <w:sz w:val="21"/>
          <w:szCs w:val="21"/>
          <w:vertAlign w:val="superscript"/>
          <w:lang w:val="en-US" w:eastAsia="zh-CN" w:bidi="ar"/>
        </w:rPr>
        <w:t>【10】</w:t>
      </w:r>
      <w:r>
        <w:rPr>
          <w:rFonts w:hint="default" w:ascii="宋体" w:hAnsi="宋体" w:eastAsia="宋体" w:cs="宋体"/>
          <w:color w:val="000000"/>
          <w:kern w:val="0"/>
          <w:sz w:val="21"/>
          <w:szCs w:val="21"/>
          <w:vertAlign w:val="superscript"/>
          <w:lang w:val="en-US" w:eastAsia="zh-CN" w:bidi="ar"/>
        </w:rPr>
        <w:fldChar w:fldCharType="end"/>
      </w:r>
      <w:r>
        <w:rPr>
          <w:rFonts w:ascii="宋体" w:hAnsi="宋体" w:eastAsia="宋体" w:cs="宋体"/>
          <w:color w:val="000000"/>
          <w:kern w:val="0"/>
          <w:sz w:val="21"/>
          <w:szCs w:val="21"/>
          <w:lang w:val="en-US" w:eastAsia="zh-CN" w:bidi="ar"/>
        </w:rPr>
        <w:t>，所有控制变量的纳入均具备成熟理论支撑。商品平均星级是过往口碑研究的基础代理指标，能够反映商品整体大众评价水平，若不加以控制会混淆增量信息的独立效应；商品售价直接决定消费者购买门槛，价格越高商品基础销量水平越低，需要固定价格带来的基础差异；用户活跃度能够反映评论发布人群的内容产出习惯，活跃用户更容易产出长文本，间接干扰增量词</w:t>
      </w:r>
      <w:bookmarkStart w:id="11" w:name="_GoBack"/>
      <w:bookmarkEnd w:id="11"/>
      <w:r>
        <w:rPr>
          <w:rFonts w:ascii="宋体" w:hAnsi="宋体" w:eastAsia="宋体" w:cs="宋体"/>
          <w:color w:val="000000"/>
          <w:kern w:val="0"/>
          <w:sz w:val="21"/>
          <w:szCs w:val="21"/>
          <w:lang w:val="en-US" w:eastAsia="zh-CN" w:bidi="ar"/>
        </w:rPr>
        <w:t>汇统计结果，纳入后可以剔除用户层面的系统性干扰，保证核心变量回归系数无偏。</w:t>
      </w:r>
    </w:p>
    <w:p w14:paraId="155B93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jc w:val="left"/>
        <w:rPr>
          <w:rFonts w:ascii="宋体" w:hAnsi="宋体" w:eastAsia="宋体" w:cs="宋体"/>
          <w:color w:val="000000"/>
          <w:kern w:val="0"/>
          <w:sz w:val="21"/>
          <w:szCs w:val="21"/>
          <w:lang w:val="en-US" w:eastAsia="zh-CN" w:bidi="ar"/>
        </w:rPr>
      </w:pPr>
    </w:p>
    <w:p w14:paraId="76424949">
      <w:pPr>
        <w:pStyle w:val="3"/>
        <w:spacing w:beforeAutospacing="0" w:afterAutospacing="0" w:line="360" w:lineRule="auto"/>
        <w:rPr>
          <w:rFonts w:hint="eastAsia"/>
          <w:lang w:val="en-US" w:eastAsia="zh-CN"/>
        </w:rPr>
      </w:pPr>
      <w:r>
        <w:rPr>
          <w:rFonts w:hint="eastAsia"/>
          <w:lang w:val="en-US" w:eastAsia="zh-CN"/>
        </w:rPr>
        <w:t>3 研究设计</w:t>
      </w:r>
    </w:p>
    <w:p w14:paraId="3EC99D1A">
      <w:pPr>
        <w:pStyle w:val="4"/>
        <w:spacing w:beforeAutospacing="0" w:afterAutospacing="0" w:line="360" w:lineRule="auto"/>
        <w:rPr>
          <w:rFonts w:hint="eastAsia"/>
          <w:sz w:val="21"/>
          <w:szCs w:val="21"/>
          <w:lang w:val="en-US" w:eastAsia="zh-CN"/>
        </w:rPr>
      </w:pPr>
      <w:r>
        <w:rPr>
          <w:rFonts w:hint="eastAsia"/>
          <w:sz w:val="21"/>
          <w:szCs w:val="21"/>
          <w:lang w:val="en-US" w:eastAsia="zh-CN"/>
        </w:rPr>
        <w:t>3</w:t>
      </w:r>
      <w:r>
        <w:rPr>
          <w:sz w:val="21"/>
          <w:szCs w:val="21"/>
        </w:rPr>
        <w:t xml:space="preserve">.1 </w:t>
      </w:r>
      <w:r>
        <w:rPr>
          <w:rFonts w:hint="eastAsia"/>
          <w:sz w:val="21"/>
          <w:szCs w:val="21"/>
          <w:lang w:val="en-US" w:eastAsia="zh-CN"/>
        </w:rPr>
        <w:t>数据来源与预处理</w:t>
      </w:r>
    </w:p>
    <w:p w14:paraId="21C8F66D">
      <w:pPr>
        <w:spacing w:line="360" w:lineRule="auto"/>
        <w:ind w:firstLine="420" w:firstLineChars="200"/>
        <w:rPr>
          <w:rFonts w:ascii="宋体" w:hAnsi="宋体" w:eastAsia="宋体" w:cs="宋体"/>
          <w:sz w:val="21"/>
          <w:szCs w:val="21"/>
        </w:rPr>
      </w:pPr>
      <w:r>
        <w:rPr>
          <w:rFonts w:ascii="宋体" w:hAnsi="宋体" w:eastAsia="宋体" w:cs="宋体"/>
          <w:sz w:val="21"/>
          <w:szCs w:val="21"/>
        </w:rPr>
        <w:t>本文采用 UCSD 公开 Amazon All_Beauty 2023 美妆评论数据集，原始数据拆分评论子数据集与商品元数据集，完整涵盖评分、评论文本、商品标题、商品详情、售价、真实购买标识、商品唯一编码等研究所需字段，时间维度覆盖平台多年美妆全品类评论记录。 数据预处理分为完整三步：第一，样本清洗，剔除空评论文本、价格缺失、无评论总量的无效商品观测值；第二，词库搭建，分别构建商家宣传词库、正向增量词库、负向增量词库；第三，单条评论文本分词匹配词库，统计单条评论内增量总词数、正向增量词数、负向增量词数，计算单条评论增量信息占比 IncreRatio；最后以商品 parent_asin 为分组标识聚合所有评论指标，取均值、求和得到商品层面回归样本，最终有效观测样本共计 8152 个美妆商品。</w:t>
      </w:r>
    </w:p>
    <w:p w14:paraId="0AD85373">
      <w:pPr>
        <w:spacing w:line="360" w:lineRule="auto"/>
        <w:rPr>
          <w:rFonts w:ascii="宋体" w:hAnsi="宋体" w:eastAsia="宋体" w:cs="宋体"/>
          <w:sz w:val="21"/>
          <w:szCs w:val="21"/>
        </w:rPr>
      </w:pPr>
    </w:p>
    <w:p w14:paraId="503532C3">
      <w:pPr>
        <w:pStyle w:val="4"/>
        <w:spacing w:beforeAutospacing="0" w:afterAutospacing="0" w:line="360" w:lineRule="auto"/>
        <w:rPr>
          <w:rFonts w:hint="eastAsia"/>
          <w:sz w:val="21"/>
          <w:szCs w:val="21"/>
          <w:lang w:val="en-US" w:eastAsia="zh-CN"/>
        </w:rPr>
      </w:pPr>
      <w:r>
        <w:rPr>
          <w:rFonts w:hint="eastAsia"/>
          <w:sz w:val="21"/>
          <w:szCs w:val="21"/>
          <w:lang w:val="en-US" w:eastAsia="zh-CN"/>
        </w:rPr>
        <w:t>3</w:t>
      </w:r>
      <w:r>
        <w:rPr>
          <w:sz w:val="21"/>
          <w:szCs w:val="21"/>
        </w:rPr>
        <w:t>.</w:t>
      </w:r>
      <w:r>
        <w:rPr>
          <w:rFonts w:hint="eastAsia"/>
          <w:sz w:val="21"/>
          <w:szCs w:val="21"/>
          <w:lang w:val="en-US" w:eastAsia="zh-CN"/>
        </w:rPr>
        <w:t>2 变量定义</w:t>
      </w:r>
    </w:p>
    <w:p w14:paraId="2A9B834C">
      <w:pPr>
        <w:pStyle w:val="6"/>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本文以商品为观察单位，在原始评论层面数据的基础上，按照商品编号 parent_asin 进行聚合处理，形成商品层面的回归数据。主要变量定义如表 1 所示。</w:t>
      </w:r>
    </w:p>
    <w:tbl>
      <w:tblPr>
        <w:tblStyle w:val="13"/>
        <w:tblW w:w="5000" w:type="pct"/>
        <w:tblInd w:w="-109" w:type="dxa"/>
        <w:tblLayout w:type="fixed"/>
        <w:tblCellMar>
          <w:top w:w="0" w:type="dxa"/>
          <w:left w:w="108" w:type="dxa"/>
          <w:bottom w:w="0" w:type="dxa"/>
          <w:right w:w="108" w:type="dxa"/>
        </w:tblCellMar>
      </w:tblPr>
      <w:tblGrid>
        <w:gridCol w:w="2131"/>
        <w:gridCol w:w="2131"/>
        <w:gridCol w:w="2131"/>
        <w:gridCol w:w="2131"/>
      </w:tblGrid>
      <w:tr w14:paraId="67225D9F">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1EB56D6A">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变量类型</w:t>
            </w:r>
          </w:p>
        </w:tc>
        <w:tc>
          <w:tcPr>
            <w:tcBorders>
              <w:top w:val="single" w:color="auto" w:sz="12" w:space="0"/>
              <w:left w:val="nil"/>
              <w:bottom w:val="nil"/>
              <w:right w:val="nil"/>
            </w:tcBorders>
            <w:noWrap w:val="0"/>
            <w:tcMar>
              <w:top w:w="-1" w:type="dxa"/>
              <w:left w:w="-1" w:type="dxa"/>
              <w:bottom w:w="-1" w:type="dxa"/>
              <w:right w:w="-1" w:type="dxa"/>
            </w:tcMar>
            <w:vAlign w:val="top"/>
          </w:tcPr>
          <w:p w14:paraId="04A953D9">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变量符号</w:t>
            </w:r>
          </w:p>
        </w:tc>
        <w:tc>
          <w:tcPr>
            <w:tcBorders>
              <w:top w:val="single" w:color="auto" w:sz="12" w:space="0"/>
              <w:left w:val="nil"/>
              <w:bottom w:val="nil"/>
              <w:right w:val="nil"/>
            </w:tcBorders>
            <w:noWrap w:val="0"/>
            <w:tcMar>
              <w:top w:w="-1" w:type="dxa"/>
              <w:left w:w="-1" w:type="dxa"/>
              <w:bottom w:w="-1" w:type="dxa"/>
              <w:right w:w="-1" w:type="dxa"/>
            </w:tcMar>
            <w:vAlign w:val="top"/>
          </w:tcPr>
          <w:p w14:paraId="4CA2B3A5">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变量含义</w:t>
            </w:r>
          </w:p>
        </w:tc>
        <w:tc>
          <w:tcPr>
            <w:tcBorders>
              <w:top w:val="single" w:color="auto" w:sz="12" w:space="0"/>
              <w:left w:val="nil"/>
              <w:bottom w:val="nil"/>
              <w:right w:val="nil"/>
            </w:tcBorders>
            <w:noWrap w:val="0"/>
            <w:tcMar>
              <w:top w:w="-1" w:type="dxa"/>
              <w:left w:w="-1" w:type="dxa"/>
              <w:bottom w:w="-1" w:type="dxa"/>
              <w:right w:w="-1" w:type="dxa"/>
            </w:tcMar>
            <w:vAlign w:val="top"/>
          </w:tcPr>
          <w:p w14:paraId="70D68B8E">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构造方式</w:t>
            </w:r>
          </w:p>
        </w:tc>
      </w:tr>
      <w:tr w14:paraId="1B7B1CAE">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602B8286">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因变量</w:t>
            </w:r>
          </w:p>
        </w:tc>
        <w:tc>
          <w:tcPr>
            <w:tcBorders>
              <w:top w:val="single" w:color="auto" w:sz="4" w:space="0"/>
              <w:left w:val="nil"/>
              <w:bottom w:val="nil"/>
              <w:right w:val="nil"/>
            </w:tcBorders>
            <w:noWrap w:val="0"/>
            <w:tcMar>
              <w:top w:w="-1" w:type="dxa"/>
              <w:left w:w="-1" w:type="dxa"/>
              <w:bottom w:w="-1" w:type="dxa"/>
              <w:right w:w="-1" w:type="dxa"/>
            </w:tcMar>
            <w:vAlign w:val="top"/>
          </w:tcPr>
          <w:p w14:paraId="2FA6BF0D">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log_sales</w:t>
            </w:r>
          </w:p>
        </w:tc>
        <w:tc>
          <w:tcPr>
            <w:tcBorders>
              <w:top w:val="single" w:color="auto" w:sz="4" w:space="0"/>
              <w:left w:val="nil"/>
              <w:bottom w:val="nil"/>
              <w:right w:val="nil"/>
            </w:tcBorders>
            <w:noWrap w:val="0"/>
            <w:tcMar>
              <w:top w:w="-1" w:type="dxa"/>
              <w:left w:w="-1" w:type="dxa"/>
              <w:bottom w:w="-1" w:type="dxa"/>
              <w:right w:w="-1" w:type="dxa"/>
            </w:tcMar>
            <w:vAlign w:val="top"/>
          </w:tcPr>
          <w:p w14:paraId="40133A03">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商品销量对数</w:t>
            </w:r>
          </w:p>
        </w:tc>
        <w:tc>
          <w:tcPr>
            <w:tcBorders>
              <w:top w:val="single" w:color="auto" w:sz="4" w:space="0"/>
              <w:left w:val="nil"/>
              <w:bottom w:val="nil"/>
              <w:right w:val="nil"/>
            </w:tcBorders>
            <w:noWrap w:val="0"/>
            <w:tcMar>
              <w:top w:w="-1" w:type="dxa"/>
              <w:left w:w="-1" w:type="dxa"/>
              <w:bottom w:w="-1" w:type="dxa"/>
              <w:right w:w="-1" w:type="dxa"/>
            </w:tcMar>
            <w:vAlign w:val="top"/>
          </w:tcPr>
          <w:p w14:paraId="0CFAB1B2">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ln(prod_total)</w:t>
            </w:r>
          </w:p>
        </w:tc>
      </w:tr>
      <w:tr w14:paraId="0171A9B0">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685B3195">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核心解释变量</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信息密度维度）</w:t>
            </w:r>
          </w:p>
        </w:tc>
        <w:tc>
          <w:tcPr>
            <w:tcBorders>
              <w:top w:val="nil"/>
              <w:left w:val="nil"/>
              <w:bottom w:val="nil"/>
              <w:right w:val="nil"/>
            </w:tcBorders>
            <w:noWrap w:val="0"/>
            <w:tcMar>
              <w:top w:w="-1" w:type="dxa"/>
              <w:left w:w="-1" w:type="dxa"/>
              <w:bottom w:w="-1" w:type="dxa"/>
              <w:right w:w="-1" w:type="dxa"/>
            </w:tcMar>
            <w:vAlign w:val="top"/>
          </w:tcPr>
          <w:p w14:paraId="6E743701">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mean_incre</w:t>
            </w:r>
          </w:p>
        </w:tc>
        <w:tc>
          <w:tcPr>
            <w:tcBorders>
              <w:top w:val="nil"/>
              <w:left w:val="nil"/>
              <w:bottom w:val="nil"/>
              <w:right w:val="nil"/>
            </w:tcBorders>
            <w:noWrap w:val="0"/>
            <w:tcMar>
              <w:top w:w="-1" w:type="dxa"/>
              <w:left w:w="-1" w:type="dxa"/>
              <w:bottom w:w="-1" w:type="dxa"/>
              <w:right w:w="-1" w:type="dxa"/>
            </w:tcMar>
            <w:vAlign w:val="top"/>
          </w:tcPr>
          <w:p w14:paraId="266642E0">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增量信息密度</w:t>
            </w:r>
          </w:p>
        </w:tc>
        <w:tc>
          <w:tcPr>
            <w:tcBorders>
              <w:top w:val="nil"/>
              <w:left w:val="nil"/>
              <w:bottom w:val="nil"/>
              <w:right w:val="nil"/>
            </w:tcBorders>
            <w:noWrap w:val="0"/>
            <w:tcMar>
              <w:top w:w="-1" w:type="dxa"/>
              <w:left w:w="-1" w:type="dxa"/>
              <w:bottom w:w="-1" w:type="dxa"/>
              <w:right w:w="-1" w:type="dxa"/>
            </w:tcMar>
            <w:vAlign w:val="top"/>
          </w:tcPr>
          <w:p w14:paraId="26168B36">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按商品对 IncreRatio 取均值</w:t>
            </w:r>
          </w:p>
        </w:tc>
      </w:tr>
      <w:tr w14:paraId="5C79543C">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29D53D4D">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核心解释变量</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信息密度维度）</w:t>
            </w:r>
          </w:p>
        </w:tc>
        <w:tc>
          <w:tcPr>
            <w:tcBorders>
              <w:top w:val="nil"/>
              <w:left w:val="nil"/>
              <w:bottom w:val="nil"/>
              <w:right w:val="nil"/>
            </w:tcBorders>
            <w:noWrap w:val="0"/>
            <w:tcMar>
              <w:top w:w="-1" w:type="dxa"/>
              <w:left w:w="-1" w:type="dxa"/>
              <w:bottom w:w="-1" w:type="dxa"/>
              <w:right w:w="-1" w:type="dxa"/>
            </w:tcMar>
            <w:vAlign w:val="top"/>
          </w:tcPr>
          <w:p w14:paraId="14049CE5">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mean_incre_sq</w:t>
            </w:r>
          </w:p>
        </w:tc>
        <w:tc>
          <w:tcPr>
            <w:tcBorders>
              <w:top w:val="nil"/>
              <w:left w:val="nil"/>
              <w:bottom w:val="nil"/>
              <w:right w:val="nil"/>
            </w:tcBorders>
            <w:noWrap w:val="0"/>
            <w:tcMar>
              <w:top w:w="-1" w:type="dxa"/>
              <w:left w:w="-1" w:type="dxa"/>
              <w:bottom w:w="-1" w:type="dxa"/>
              <w:right w:w="-1" w:type="dxa"/>
            </w:tcMar>
            <w:vAlign w:val="top"/>
          </w:tcPr>
          <w:p w14:paraId="36392E7E">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增量信息密度平方项</w:t>
            </w:r>
          </w:p>
        </w:tc>
        <w:tc>
          <w:tcPr>
            <w:tcBorders>
              <w:top w:val="nil"/>
              <w:left w:val="nil"/>
              <w:bottom w:val="nil"/>
              <w:right w:val="nil"/>
            </w:tcBorders>
            <w:noWrap w:val="0"/>
            <w:tcMar>
              <w:top w:w="-1" w:type="dxa"/>
              <w:left w:w="-1" w:type="dxa"/>
              <w:bottom w:w="-1" w:type="dxa"/>
              <w:right w:w="-1" w:type="dxa"/>
            </w:tcMar>
            <w:vAlign w:val="top"/>
          </w:tcPr>
          <w:p w14:paraId="2CD1B657">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mean_incre²</w:t>
            </w:r>
          </w:p>
        </w:tc>
      </w:tr>
      <w:tr w14:paraId="40DE04CA">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252832ED">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核心解释</w:t>
            </w:r>
            <w:r>
              <w:rPr>
                <w:rFonts w:hint="eastAsia" w:ascii="宋体" w:hAnsi="宋体" w:eastAsia="宋体" w:cs="宋体"/>
                <w:sz w:val="21"/>
                <w:szCs w:val="21"/>
              </w:rPr>
              <w:t>变量</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情感倾向维度）</w:t>
            </w:r>
          </w:p>
        </w:tc>
        <w:tc>
          <w:tcPr>
            <w:tcBorders>
              <w:top w:val="nil"/>
              <w:left w:val="nil"/>
              <w:bottom w:val="nil"/>
              <w:right w:val="nil"/>
            </w:tcBorders>
            <w:noWrap w:val="0"/>
            <w:tcMar>
              <w:top w:w="-1" w:type="dxa"/>
              <w:left w:w="-1" w:type="dxa"/>
              <w:bottom w:w="-1" w:type="dxa"/>
              <w:right w:w="-1" w:type="dxa"/>
            </w:tcMar>
            <w:vAlign w:val="top"/>
          </w:tcPr>
          <w:p w14:paraId="6B00CD2F">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total_pos</w:t>
            </w:r>
          </w:p>
        </w:tc>
        <w:tc>
          <w:tcPr>
            <w:tcBorders>
              <w:top w:val="nil"/>
              <w:left w:val="nil"/>
              <w:bottom w:val="nil"/>
              <w:right w:val="nil"/>
            </w:tcBorders>
            <w:noWrap w:val="0"/>
            <w:tcMar>
              <w:top w:w="-1" w:type="dxa"/>
              <w:left w:w="-1" w:type="dxa"/>
              <w:bottom w:w="-1" w:type="dxa"/>
              <w:right w:w="-1" w:type="dxa"/>
            </w:tcMar>
            <w:vAlign w:val="top"/>
          </w:tcPr>
          <w:p w14:paraId="5BFFFDC0">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正向增量信息总量</w:t>
            </w:r>
          </w:p>
        </w:tc>
        <w:tc>
          <w:tcPr>
            <w:tcBorders>
              <w:top w:val="nil"/>
              <w:left w:val="nil"/>
              <w:bottom w:val="nil"/>
              <w:right w:val="nil"/>
            </w:tcBorders>
            <w:noWrap w:val="0"/>
            <w:tcMar>
              <w:top w:w="-1" w:type="dxa"/>
              <w:left w:w="-1" w:type="dxa"/>
              <w:bottom w:w="-1" w:type="dxa"/>
              <w:right w:w="-1" w:type="dxa"/>
            </w:tcMar>
            <w:vAlign w:val="top"/>
          </w:tcPr>
          <w:p w14:paraId="4A1F6514">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按商品对 PosIncre 求和</w:t>
            </w:r>
          </w:p>
        </w:tc>
      </w:tr>
      <w:tr w14:paraId="2F78810D">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D84FE16">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核心解释</w:t>
            </w:r>
            <w:r>
              <w:rPr>
                <w:rFonts w:hint="eastAsia" w:ascii="宋体" w:hAnsi="宋体" w:eastAsia="宋体" w:cs="宋体"/>
                <w:sz w:val="21"/>
                <w:szCs w:val="21"/>
              </w:rPr>
              <w:t>变量</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情感倾向维度）</w:t>
            </w:r>
          </w:p>
        </w:tc>
        <w:tc>
          <w:tcPr>
            <w:tcBorders>
              <w:top w:val="nil"/>
              <w:left w:val="nil"/>
              <w:bottom w:val="nil"/>
              <w:right w:val="nil"/>
            </w:tcBorders>
            <w:noWrap w:val="0"/>
            <w:tcMar>
              <w:top w:w="-1" w:type="dxa"/>
              <w:left w:w="-1" w:type="dxa"/>
              <w:bottom w:w="-1" w:type="dxa"/>
              <w:right w:w="-1" w:type="dxa"/>
            </w:tcMar>
            <w:vAlign w:val="top"/>
          </w:tcPr>
          <w:p w14:paraId="0D7ABAAB">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total_neg</w:t>
            </w:r>
          </w:p>
        </w:tc>
        <w:tc>
          <w:tcPr>
            <w:tcBorders>
              <w:top w:val="nil"/>
              <w:left w:val="nil"/>
              <w:bottom w:val="nil"/>
              <w:right w:val="nil"/>
            </w:tcBorders>
            <w:noWrap w:val="0"/>
            <w:tcMar>
              <w:top w:w="-1" w:type="dxa"/>
              <w:left w:w="-1" w:type="dxa"/>
              <w:bottom w:w="-1" w:type="dxa"/>
              <w:right w:w="-1" w:type="dxa"/>
            </w:tcMar>
            <w:vAlign w:val="top"/>
          </w:tcPr>
          <w:p w14:paraId="163640A9">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负向增量信息总量</w:t>
            </w:r>
          </w:p>
        </w:tc>
        <w:tc>
          <w:tcPr>
            <w:tcBorders>
              <w:top w:val="nil"/>
              <w:left w:val="nil"/>
              <w:bottom w:val="nil"/>
              <w:right w:val="nil"/>
            </w:tcBorders>
            <w:noWrap w:val="0"/>
            <w:tcMar>
              <w:top w:w="-1" w:type="dxa"/>
              <w:left w:w="-1" w:type="dxa"/>
              <w:bottom w:w="-1" w:type="dxa"/>
              <w:right w:w="-1" w:type="dxa"/>
            </w:tcMar>
            <w:vAlign w:val="top"/>
          </w:tcPr>
          <w:p w14:paraId="62F81EB4">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按商品对 NegIncre 求和</w:t>
            </w:r>
          </w:p>
        </w:tc>
      </w:tr>
      <w:tr w14:paraId="6BEB1BA8">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68686B6">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调节变量</w:t>
            </w:r>
          </w:p>
        </w:tc>
        <w:tc>
          <w:tcPr>
            <w:tcBorders>
              <w:top w:val="nil"/>
              <w:left w:val="nil"/>
              <w:bottom w:val="nil"/>
              <w:right w:val="nil"/>
            </w:tcBorders>
            <w:noWrap w:val="0"/>
            <w:tcMar>
              <w:top w:w="-1" w:type="dxa"/>
              <w:left w:w="-1" w:type="dxa"/>
              <w:bottom w:w="-1" w:type="dxa"/>
              <w:right w:w="-1" w:type="dxa"/>
            </w:tcMar>
            <w:vAlign w:val="top"/>
          </w:tcPr>
          <w:p w14:paraId="2F406C37">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buy_ratio</w:t>
            </w:r>
          </w:p>
        </w:tc>
        <w:tc>
          <w:tcPr>
            <w:tcBorders>
              <w:top w:val="nil"/>
              <w:left w:val="nil"/>
              <w:bottom w:val="nil"/>
              <w:right w:val="nil"/>
            </w:tcBorders>
            <w:noWrap w:val="0"/>
            <w:tcMar>
              <w:top w:w="-1" w:type="dxa"/>
              <w:left w:w="-1" w:type="dxa"/>
              <w:bottom w:w="-1" w:type="dxa"/>
              <w:right w:w="-1" w:type="dxa"/>
            </w:tcMar>
            <w:vAlign w:val="top"/>
          </w:tcPr>
          <w:p w14:paraId="3B9D90E9">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真实购买占比</w:t>
            </w:r>
          </w:p>
        </w:tc>
        <w:tc>
          <w:tcPr>
            <w:tcBorders>
              <w:top w:val="nil"/>
              <w:left w:val="nil"/>
              <w:bottom w:val="nil"/>
              <w:right w:val="nil"/>
            </w:tcBorders>
            <w:noWrap w:val="0"/>
            <w:tcMar>
              <w:top w:w="-1" w:type="dxa"/>
              <w:left w:w="-1" w:type="dxa"/>
              <w:bottom w:w="-1" w:type="dxa"/>
              <w:right w:w="-1" w:type="dxa"/>
            </w:tcMar>
            <w:vAlign w:val="top"/>
          </w:tcPr>
          <w:p w14:paraId="14F2AF7F">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真实购买评论数 / 商品评论总数</w:t>
            </w:r>
          </w:p>
        </w:tc>
      </w:tr>
      <w:tr w14:paraId="53621C18">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4EB23D5">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调节变量</w:t>
            </w:r>
          </w:p>
        </w:tc>
        <w:tc>
          <w:tcPr>
            <w:tcBorders>
              <w:top w:val="nil"/>
              <w:left w:val="nil"/>
              <w:bottom w:val="nil"/>
              <w:right w:val="nil"/>
            </w:tcBorders>
            <w:noWrap w:val="0"/>
            <w:tcMar>
              <w:top w:w="-1" w:type="dxa"/>
              <w:left w:w="-1" w:type="dxa"/>
              <w:bottom w:w="-1" w:type="dxa"/>
              <w:right w:w="-1" w:type="dxa"/>
            </w:tcMar>
            <w:vAlign w:val="top"/>
          </w:tcPr>
          <w:p w14:paraId="73D51B8D">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low_price</w:t>
            </w:r>
          </w:p>
        </w:tc>
        <w:tc>
          <w:tcPr>
            <w:tcBorders>
              <w:top w:val="nil"/>
              <w:left w:val="nil"/>
              <w:bottom w:val="nil"/>
              <w:right w:val="nil"/>
            </w:tcBorders>
            <w:noWrap w:val="0"/>
            <w:tcMar>
              <w:top w:w="-1" w:type="dxa"/>
              <w:left w:w="-1" w:type="dxa"/>
              <w:bottom w:w="-1" w:type="dxa"/>
              <w:right w:w="-1" w:type="dxa"/>
            </w:tcMar>
            <w:vAlign w:val="top"/>
          </w:tcPr>
          <w:p w14:paraId="745A4C23">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低价组虚拟变量</w:t>
            </w:r>
          </w:p>
        </w:tc>
        <w:tc>
          <w:tcPr>
            <w:tcBorders>
              <w:top w:val="nil"/>
              <w:left w:val="nil"/>
              <w:bottom w:val="nil"/>
              <w:right w:val="nil"/>
            </w:tcBorders>
            <w:noWrap w:val="0"/>
            <w:tcMar>
              <w:top w:w="-1" w:type="dxa"/>
              <w:left w:w="-1" w:type="dxa"/>
              <w:bottom w:w="-1" w:type="dxa"/>
              <w:right w:w="-1" w:type="dxa"/>
            </w:tcMar>
            <w:vAlign w:val="top"/>
          </w:tcPr>
          <w:p w14:paraId="3F9C91E0">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低价组取 1，否则取 0</w:t>
            </w:r>
          </w:p>
        </w:tc>
      </w:tr>
      <w:tr w14:paraId="3D413602">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6BED3238">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调节变量</w:t>
            </w:r>
          </w:p>
        </w:tc>
        <w:tc>
          <w:tcPr>
            <w:tcBorders>
              <w:top w:val="nil"/>
              <w:left w:val="nil"/>
              <w:bottom w:val="nil"/>
              <w:right w:val="nil"/>
            </w:tcBorders>
            <w:noWrap w:val="0"/>
            <w:tcMar>
              <w:top w:w="-1" w:type="dxa"/>
              <w:left w:w="-1" w:type="dxa"/>
              <w:bottom w:w="-1" w:type="dxa"/>
              <w:right w:w="-1" w:type="dxa"/>
            </w:tcMar>
            <w:vAlign w:val="top"/>
          </w:tcPr>
          <w:p w14:paraId="706DDA77">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high_price</w:t>
            </w:r>
          </w:p>
        </w:tc>
        <w:tc>
          <w:tcPr>
            <w:tcBorders>
              <w:top w:val="nil"/>
              <w:left w:val="nil"/>
              <w:bottom w:val="nil"/>
              <w:right w:val="nil"/>
            </w:tcBorders>
            <w:noWrap w:val="0"/>
            <w:tcMar>
              <w:top w:w="-1" w:type="dxa"/>
              <w:left w:w="-1" w:type="dxa"/>
              <w:bottom w:w="-1" w:type="dxa"/>
              <w:right w:w="-1" w:type="dxa"/>
            </w:tcMar>
            <w:vAlign w:val="top"/>
          </w:tcPr>
          <w:p w14:paraId="24332DE9">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高价组虚拟变量</w:t>
            </w:r>
          </w:p>
        </w:tc>
        <w:tc>
          <w:tcPr>
            <w:tcBorders>
              <w:top w:val="nil"/>
              <w:left w:val="nil"/>
              <w:bottom w:val="nil"/>
              <w:right w:val="nil"/>
            </w:tcBorders>
            <w:noWrap w:val="0"/>
            <w:tcMar>
              <w:top w:w="-1" w:type="dxa"/>
              <w:left w:w="-1" w:type="dxa"/>
              <w:bottom w:w="-1" w:type="dxa"/>
              <w:right w:w="-1" w:type="dxa"/>
            </w:tcMar>
            <w:vAlign w:val="top"/>
          </w:tcPr>
          <w:p w14:paraId="490A76ED">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高价组取 1，否则取 0</w:t>
            </w:r>
          </w:p>
        </w:tc>
      </w:tr>
      <w:tr w14:paraId="11C472D1">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1904A369">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控制变量</w:t>
            </w:r>
          </w:p>
        </w:tc>
        <w:tc>
          <w:tcPr>
            <w:tcBorders>
              <w:top w:val="nil"/>
              <w:left w:val="nil"/>
              <w:bottom w:val="nil"/>
              <w:right w:val="nil"/>
            </w:tcBorders>
            <w:noWrap w:val="0"/>
            <w:tcMar>
              <w:top w:w="-1" w:type="dxa"/>
              <w:left w:w="-1" w:type="dxa"/>
              <w:bottom w:w="-1" w:type="dxa"/>
              <w:right w:w="-1" w:type="dxa"/>
            </w:tcMar>
            <w:vAlign w:val="top"/>
          </w:tcPr>
          <w:p w14:paraId="7AAB68B3">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mean_rating</w:t>
            </w:r>
          </w:p>
        </w:tc>
        <w:tc>
          <w:tcPr>
            <w:tcBorders>
              <w:top w:val="nil"/>
              <w:left w:val="nil"/>
              <w:bottom w:val="nil"/>
              <w:right w:val="nil"/>
            </w:tcBorders>
            <w:noWrap w:val="0"/>
            <w:tcMar>
              <w:top w:w="-1" w:type="dxa"/>
              <w:left w:w="-1" w:type="dxa"/>
              <w:bottom w:w="-1" w:type="dxa"/>
              <w:right w:w="-1" w:type="dxa"/>
            </w:tcMar>
            <w:vAlign w:val="top"/>
          </w:tcPr>
          <w:p w14:paraId="03DC8992">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商品平均评分</w:t>
            </w:r>
          </w:p>
        </w:tc>
        <w:tc>
          <w:tcPr>
            <w:tcBorders>
              <w:top w:val="nil"/>
              <w:left w:val="nil"/>
              <w:bottom w:val="nil"/>
              <w:right w:val="nil"/>
            </w:tcBorders>
            <w:noWrap w:val="0"/>
            <w:tcMar>
              <w:top w:w="-1" w:type="dxa"/>
              <w:left w:w="-1" w:type="dxa"/>
              <w:bottom w:w="-1" w:type="dxa"/>
              <w:right w:w="-1" w:type="dxa"/>
            </w:tcMar>
            <w:vAlign w:val="top"/>
          </w:tcPr>
          <w:p w14:paraId="231764E9">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商品评论评分均值</w:t>
            </w:r>
          </w:p>
        </w:tc>
      </w:tr>
      <w:tr w14:paraId="1769FD2F">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25D9CB1D">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控制变量</w:t>
            </w:r>
          </w:p>
        </w:tc>
        <w:tc>
          <w:tcPr>
            <w:tcBorders>
              <w:top w:val="nil"/>
              <w:left w:val="nil"/>
              <w:bottom w:val="nil"/>
              <w:right w:val="nil"/>
            </w:tcBorders>
            <w:noWrap w:val="0"/>
            <w:tcMar>
              <w:top w:w="-1" w:type="dxa"/>
              <w:left w:w="-1" w:type="dxa"/>
              <w:bottom w:w="-1" w:type="dxa"/>
              <w:right w:w="-1" w:type="dxa"/>
            </w:tcMar>
            <w:vAlign w:val="top"/>
          </w:tcPr>
          <w:p w14:paraId="538E7B37">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price</w:t>
            </w:r>
          </w:p>
        </w:tc>
        <w:tc>
          <w:tcPr>
            <w:tcBorders>
              <w:top w:val="nil"/>
              <w:left w:val="nil"/>
              <w:bottom w:val="nil"/>
              <w:right w:val="nil"/>
            </w:tcBorders>
            <w:noWrap w:val="0"/>
            <w:tcMar>
              <w:top w:w="-1" w:type="dxa"/>
              <w:left w:w="-1" w:type="dxa"/>
              <w:bottom w:w="-1" w:type="dxa"/>
              <w:right w:w="-1" w:type="dxa"/>
            </w:tcMar>
            <w:vAlign w:val="top"/>
          </w:tcPr>
          <w:p w14:paraId="25BE152D">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商品价格</w:t>
            </w:r>
          </w:p>
        </w:tc>
        <w:tc>
          <w:tcPr>
            <w:tcBorders>
              <w:top w:val="nil"/>
              <w:left w:val="nil"/>
              <w:bottom w:val="nil"/>
              <w:right w:val="nil"/>
            </w:tcBorders>
            <w:noWrap w:val="0"/>
            <w:tcMar>
              <w:top w:w="-1" w:type="dxa"/>
              <w:left w:w="-1" w:type="dxa"/>
              <w:bottom w:w="-1" w:type="dxa"/>
              <w:right w:w="-1" w:type="dxa"/>
            </w:tcMar>
            <w:vAlign w:val="top"/>
          </w:tcPr>
          <w:p w14:paraId="24A65ABE">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商品销售价格</w:t>
            </w:r>
          </w:p>
        </w:tc>
      </w:tr>
      <w:tr w14:paraId="29A2B00B">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7FD80C05">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控制变量</w:t>
            </w:r>
          </w:p>
        </w:tc>
        <w:tc>
          <w:tcPr>
            <w:tcBorders>
              <w:top w:val="nil"/>
              <w:left w:val="nil"/>
              <w:bottom w:val="single" w:color="auto" w:sz="12" w:space="0"/>
              <w:right w:val="nil"/>
            </w:tcBorders>
            <w:noWrap w:val="0"/>
            <w:tcMar>
              <w:top w:w="-1" w:type="dxa"/>
              <w:left w:w="-1" w:type="dxa"/>
              <w:bottom w:w="-1" w:type="dxa"/>
              <w:right w:w="-1" w:type="dxa"/>
            </w:tcMar>
            <w:vAlign w:val="top"/>
          </w:tcPr>
          <w:p w14:paraId="43C2C845">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mean_user_activity</w:t>
            </w:r>
          </w:p>
        </w:tc>
        <w:tc>
          <w:tcPr>
            <w:tcBorders>
              <w:top w:val="nil"/>
              <w:left w:val="nil"/>
              <w:bottom w:val="single" w:color="auto" w:sz="12" w:space="0"/>
              <w:right w:val="nil"/>
            </w:tcBorders>
            <w:noWrap w:val="0"/>
            <w:tcMar>
              <w:top w:w="-1" w:type="dxa"/>
              <w:left w:w="-1" w:type="dxa"/>
              <w:bottom w:w="-1" w:type="dxa"/>
              <w:right w:w="-1" w:type="dxa"/>
            </w:tcMar>
            <w:vAlign w:val="top"/>
          </w:tcPr>
          <w:p w14:paraId="4A3A94C7">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用户活跃度</w:t>
            </w:r>
          </w:p>
        </w:tc>
        <w:tc>
          <w:tcPr>
            <w:tcBorders>
              <w:top w:val="nil"/>
              <w:left w:val="nil"/>
              <w:bottom w:val="single" w:color="auto" w:sz="12" w:space="0"/>
              <w:right w:val="nil"/>
            </w:tcBorders>
            <w:noWrap w:val="0"/>
            <w:tcMar>
              <w:top w:w="-1" w:type="dxa"/>
              <w:left w:w="-1" w:type="dxa"/>
              <w:bottom w:w="-1" w:type="dxa"/>
              <w:right w:w="-1" w:type="dxa"/>
            </w:tcMar>
            <w:vAlign w:val="top"/>
          </w:tcPr>
          <w:p w14:paraId="14E1702F">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按商品对 user_total 取均值</w:t>
            </w:r>
          </w:p>
        </w:tc>
      </w:tr>
    </w:tbl>
    <w:p w14:paraId="00BDD8CF">
      <w:pPr>
        <w:pStyle w:val="5"/>
        <w:jc w:val="center"/>
        <w:rPr>
          <w:rFonts w:hint="eastAsia" w:ascii="宋体" w:hAnsi="宋体" w:eastAsia="宋体" w:cs="宋体"/>
          <w:b/>
          <w:bCs/>
          <w:i w:val="0"/>
          <w:iCs/>
          <w:sz w:val="15"/>
          <w:szCs w:val="15"/>
        </w:rPr>
      </w:pPr>
    </w:p>
    <w:p w14:paraId="45A81CE1">
      <w:pPr>
        <w:pStyle w:val="5"/>
        <w:jc w:val="center"/>
        <w:rPr>
          <w:rFonts w:hint="eastAsia" w:ascii="宋体" w:hAnsi="宋体" w:eastAsia="宋体" w:cs="宋体"/>
          <w:b/>
          <w:bCs/>
          <w:i w:val="0"/>
          <w:iCs/>
          <w:sz w:val="15"/>
          <w:szCs w:val="15"/>
          <w:lang w:eastAsia="zh-CN"/>
        </w:rPr>
      </w:pPr>
      <w:r>
        <w:rPr>
          <w:rFonts w:hint="eastAsia" w:ascii="宋体" w:hAnsi="宋体" w:eastAsia="宋体" w:cs="宋体"/>
          <w:b/>
          <w:bCs/>
          <w:i w:val="0"/>
          <w:iCs/>
          <w:sz w:val="15"/>
          <w:szCs w:val="15"/>
        </w:rPr>
        <w:t xml:space="preserve">表 </w:t>
      </w:r>
      <w:r>
        <w:rPr>
          <w:rFonts w:hint="eastAsia" w:ascii="宋体" w:hAnsi="宋体" w:eastAsia="宋体" w:cs="宋体"/>
          <w:b/>
          <w:bCs/>
          <w:i w:val="0"/>
          <w:iCs/>
          <w:sz w:val="15"/>
          <w:szCs w:val="15"/>
        </w:rPr>
        <w:fldChar w:fldCharType="begin"/>
      </w:r>
      <w:r>
        <w:rPr>
          <w:rFonts w:hint="eastAsia" w:ascii="宋体" w:hAnsi="宋体" w:eastAsia="宋体" w:cs="宋体"/>
          <w:b/>
          <w:bCs/>
          <w:i w:val="0"/>
          <w:iCs/>
          <w:sz w:val="15"/>
          <w:szCs w:val="15"/>
        </w:rPr>
        <w:instrText xml:space="preserve"> SEQ 表 \* ARABIC </w:instrText>
      </w:r>
      <w:r>
        <w:rPr>
          <w:rFonts w:hint="eastAsia" w:ascii="宋体" w:hAnsi="宋体" w:eastAsia="宋体" w:cs="宋体"/>
          <w:b/>
          <w:bCs/>
          <w:i w:val="0"/>
          <w:iCs/>
          <w:sz w:val="15"/>
          <w:szCs w:val="15"/>
        </w:rPr>
        <w:fldChar w:fldCharType="separate"/>
      </w:r>
      <w:r>
        <w:rPr>
          <w:rFonts w:hint="eastAsia" w:ascii="宋体" w:hAnsi="宋体" w:eastAsia="宋体" w:cs="宋体"/>
          <w:b/>
          <w:bCs/>
          <w:i w:val="0"/>
          <w:iCs/>
          <w:sz w:val="15"/>
          <w:szCs w:val="15"/>
        </w:rPr>
        <w:t>1</w:t>
      </w:r>
      <w:r>
        <w:rPr>
          <w:rFonts w:hint="eastAsia" w:ascii="宋体" w:hAnsi="宋体" w:eastAsia="宋体" w:cs="宋体"/>
          <w:b/>
          <w:bCs/>
          <w:i w:val="0"/>
          <w:iCs/>
          <w:sz w:val="15"/>
          <w:szCs w:val="15"/>
        </w:rPr>
        <w:fldChar w:fldCharType="end"/>
      </w:r>
      <w:r>
        <w:rPr>
          <w:rFonts w:hint="eastAsia" w:ascii="宋体" w:hAnsi="宋体" w:eastAsia="宋体" w:cs="宋体"/>
          <w:b/>
          <w:bCs/>
          <w:i w:val="0"/>
          <w:iCs/>
          <w:sz w:val="15"/>
          <w:szCs w:val="15"/>
          <w:lang w:eastAsia="zh-CN"/>
        </w:rPr>
        <w:t xml:space="preserve"> 变量定义表</w:t>
      </w:r>
    </w:p>
    <w:p w14:paraId="395A0B33">
      <w:pPr>
        <w:pStyle w:val="6"/>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sz w:val="21"/>
          <w:szCs w:val="21"/>
        </w:rPr>
      </w:pPr>
      <w:r>
        <w:rPr>
          <w:rFonts w:hint="eastAsia" w:ascii="宋体" w:hAnsi="宋体" w:eastAsia="宋体" w:cs="宋体"/>
          <w:sz w:val="21"/>
          <w:szCs w:val="21"/>
        </w:rPr>
        <w:t>注：本文变量均基于商品层面数据构造。其中，parent_asin 为商品编号，prod_total 表示商品销量，IncreRatio、PosIncre 和 NegIncre 分别来源于评论文本中的增量信息识别结果。</w:t>
      </w:r>
    </w:p>
    <w:p w14:paraId="08A5E766">
      <w:pPr>
        <w:pStyle w:val="4"/>
        <w:spacing w:beforeAutospacing="0" w:afterAutospacing="0"/>
        <w:rPr>
          <w:rFonts w:hint="eastAsia"/>
          <w:sz w:val="21"/>
          <w:szCs w:val="21"/>
          <w:lang w:val="en-US" w:eastAsia="zh-CN"/>
        </w:rPr>
      </w:pPr>
      <w:r>
        <w:rPr>
          <w:rFonts w:hint="eastAsia"/>
          <w:sz w:val="21"/>
          <w:szCs w:val="21"/>
          <w:lang w:val="en-US" w:eastAsia="zh-CN"/>
        </w:rPr>
        <w:t>3</w:t>
      </w:r>
      <w:r>
        <w:rPr>
          <w:sz w:val="21"/>
          <w:szCs w:val="21"/>
        </w:rPr>
        <w:t>.</w:t>
      </w:r>
      <w:r>
        <w:rPr>
          <w:rFonts w:hint="eastAsia"/>
          <w:sz w:val="21"/>
          <w:szCs w:val="21"/>
          <w:lang w:val="en-US" w:eastAsia="zh-CN"/>
        </w:rPr>
        <w:t>3 模型构建</w:t>
      </w:r>
    </w:p>
    <w:p w14:paraId="70562D74">
      <w:pPr>
        <w:pStyle w:val="6"/>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eastAsia="宋体" w:cs="Times New Roman"/>
          <w:sz w:val="21"/>
          <w:lang w:val="en-US" w:eastAsia="zh-CN"/>
        </w:rPr>
      </w:pPr>
      <w:r>
        <w:rPr>
          <w:rFonts w:hint="eastAsia" w:ascii="Times New Roman" w:hAnsi="Times New Roman" w:eastAsia="宋体" w:cs="Times New Roman"/>
          <w:sz w:val="21"/>
        </w:rPr>
        <w:t>考虑到增量信息密度对销量的影响可能并非简单线性关系，为了捕捉可能的非线性关系，本文加入平方项，构建二次</w:t>
      </w:r>
      <w:r>
        <w:rPr>
          <w:rFonts w:hint="eastAsia" w:ascii="Times New Roman" w:hAnsi="Times New Roman" w:eastAsia="宋体" w:cs="Times New Roman"/>
          <w:sz w:val="21"/>
          <w:lang w:val="en-US" w:eastAsia="zh-CN"/>
        </w:rPr>
        <w:t>模型：</w:t>
      </w:r>
    </w:p>
    <w:p w14:paraId="413710B0">
      <w:pPr>
        <w:pStyle w:val="6"/>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lo</m:t>
              </m:r>
              <m:r>
                <m:rPr/>
                <w:rPr>
                  <w:rFonts w:hint="default" w:ascii="Cambria Math" w:hAnsi="Cambria Math" w:eastAsia="宋体"/>
                  <w:sz w:val="21"/>
                  <w:lang w:val="en-US" w:eastAsia="zh-CN"/>
                </w:rPr>
                <m:t>g_s</m:t>
              </m:r>
              <m:r>
                <m:rPr/>
                <w:rPr>
                  <w:rFonts w:hint="default" w:ascii="Cambria Math" w:hAnsi="Cambria Math" w:eastAsia="宋体"/>
                  <w:sz w:val="21"/>
                </w:rPr>
                <m:t>ales</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β</m:t>
              </m:r>
              <m:ctrlPr>
                <w:rPr>
                  <w:rFonts w:hint="default" w:ascii="Cambria Math" w:hAnsi="Cambria Math" w:eastAsia="宋体"/>
                  <w:sz w:val="21"/>
                </w:rPr>
              </m:ctrlPr>
            </m:e>
            <m:sub>
              <m:r>
                <m:rPr/>
                <w:rPr>
                  <w:rFonts w:hint="default" w:ascii="Cambria Math" w:hAnsi="Cambria Math" w:eastAsia="宋体"/>
                  <w:sz w:val="21"/>
                </w:rPr>
                <m:t>0</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β</m:t>
              </m:r>
              <m:ctrlPr>
                <w:rPr>
                  <w:rFonts w:hint="default" w:ascii="Cambria Math" w:hAnsi="Cambria Math" w:eastAsia="宋体"/>
                  <w:sz w:val="21"/>
                </w:rPr>
              </m:ctrlPr>
            </m:e>
            <m:sub>
              <m:r>
                <m:rPr/>
                <w:rPr>
                  <w:rFonts w:hint="default" w:ascii="Cambria Math" w:hAnsi="Cambria Math" w:eastAsia="宋体"/>
                  <w:sz w:val="21"/>
                </w:rPr>
                <m:t>1</m:t>
              </m:r>
              <m:ctrlPr>
                <w:rPr>
                  <w:rFonts w:hint="default"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mean</m:t>
              </m:r>
              <m:r>
                <m:rPr/>
                <w:rPr>
                  <w:rFonts w:hint="default" w:ascii="Cambria Math" w:hAnsi="Cambria Math" w:eastAsia="宋体"/>
                  <w:sz w:val="21"/>
                  <w:lang w:val="en-US" w:eastAsia="zh-CN"/>
                </w:rPr>
                <m:t>_in</m:t>
              </m:r>
              <m:r>
                <m:rPr/>
                <w:rPr>
                  <w:rFonts w:hint="default" w:ascii="Cambria Math" w:hAnsi="Cambria Math" w:eastAsia="宋体"/>
                  <w:sz w:val="21"/>
                </w:rPr>
                <m:t>cre</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β</m:t>
              </m:r>
              <m:ctrlPr>
                <w:rPr>
                  <w:rFonts w:hint="default" w:ascii="Cambria Math" w:hAnsi="Cambria Math" w:eastAsia="宋体"/>
                  <w:sz w:val="21"/>
                </w:rPr>
              </m:ctrlPr>
            </m:e>
            <m:sub>
              <m:r>
                <m:rPr/>
                <w:rPr>
                  <w:rFonts w:hint="default" w:ascii="Cambria Math" w:hAnsi="Cambria Math" w:eastAsia="宋体"/>
                  <w:sz w:val="21"/>
                </w:rPr>
                <m:t>2</m:t>
              </m:r>
              <m:ctrlPr>
                <w:rPr>
                  <w:rFonts w:hint="default"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mean</m:t>
              </m:r>
              <m:r>
                <m:rPr/>
                <w:rPr>
                  <w:rFonts w:hint="default" w:ascii="Cambria Math" w:hAnsi="Cambria Math" w:eastAsia="宋体"/>
                  <w:sz w:val="21"/>
                  <w:lang w:val="en-US" w:eastAsia="zh-CN"/>
                </w:rPr>
                <m:t>_in</m:t>
              </m:r>
              <m:r>
                <m:rPr/>
                <w:rPr>
                  <w:rFonts w:hint="default" w:ascii="Cambria Math" w:hAnsi="Cambria Math" w:eastAsia="宋体"/>
                  <w:sz w:val="21"/>
                </w:rPr>
                <m:t>cr</m:t>
              </m:r>
              <m:r>
                <m:rPr/>
                <w:rPr>
                  <w:rFonts w:hint="default" w:ascii="Cambria Math" w:hAnsi="Cambria Math" w:eastAsia="宋体"/>
                  <w:sz w:val="21"/>
                  <w:lang w:val="en-US" w:eastAsia="zh-CN"/>
                </w:rPr>
                <m:t>e_s</m:t>
              </m:r>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+λControl</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ε</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oMath>
      </m:oMathPara>
    </w:p>
    <w:p w14:paraId="568AD6EF">
      <w:pPr>
        <w:pStyle w:val="6"/>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ascii="Times New Roman" w:hAnsi="Times New Roman" w:eastAsia="宋体" w:cs="Times New Roman"/>
          <w:sz w:val="21"/>
          <w:szCs w:val="21"/>
        </w:rPr>
      </w:pPr>
      <w:r>
        <w:rPr>
          <w:rFonts w:ascii="宋体" w:hAnsi="宋体" w:eastAsia="宋体" w:cs="宋体"/>
          <w:sz w:val="21"/>
          <w:szCs w:val="21"/>
        </w:rPr>
        <w:t>从变量内涵来看，mean_incre 刻画增量信息的整体浓度，total_pos 与 total_neg 刻画增量信息的情感极性，二者属于增量信息两条相互独立的研究维度，若共同纳入同一回归方程，由于三类指标均源自同一段评论文本的分词统计，同源文本变量极易引发严重多重共线性，造成回归系数偏误，因此本文将信息密度与情感异质性拆分为两组独立模型开展检验。与此同时，本文提前对 total_pos 与 total_neg 开展相关性与方差膨胀因子检验，二者相关系数远低于 0.7 的临界阈值，不存在明显共线性问题；将二者置于同一模型中，可以在保持样本、控制变量完全一致的前提下横向对比系数大小，精准识别正负增量信息的非对称影响，</w:t>
      </w:r>
      <w:r>
        <w:rPr>
          <w:rFonts w:hint="eastAsia" w:ascii="Times New Roman" w:hAnsi="Times New Roman" w:eastAsia="宋体" w:cs="Times New Roman"/>
          <w:sz w:val="21"/>
          <w:szCs w:val="21"/>
        </w:rPr>
        <w:t>为检验</w:t>
      </w:r>
      <w:r>
        <w:rPr>
          <w:rFonts w:hint="eastAsia" w:ascii="Times New Roman" w:hAnsi="Times New Roman" w:eastAsia="宋体" w:cs="Times New Roman"/>
          <w:sz w:val="21"/>
          <w:szCs w:val="21"/>
          <w:lang w:val="en-US" w:eastAsia="zh-CN"/>
        </w:rPr>
        <w:t>增量信息的情感倾向维度对销量的</w:t>
      </w:r>
      <w:r>
        <w:rPr>
          <w:rFonts w:hint="eastAsia" w:ascii="Times New Roman" w:hAnsi="Times New Roman" w:eastAsia="宋体" w:cs="Times New Roman"/>
          <w:sz w:val="21"/>
          <w:szCs w:val="21"/>
        </w:rPr>
        <w:t>影响，本文构建如下模型：</w:t>
      </w:r>
    </w:p>
    <w:p w14:paraId="15CCE881">
      <w:pPr>
        <w:pStyle w:val="6"/>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lo</m:t>
              </m:r>
              <m:r>
                <m:rPr/>
                <w:rPr>
                  <w:rFonts w:hint="default" w:ascii="Cambria Math" w:hAnsi="Cambria Math" w:eastAsia="宋体"/>
                  <w:sz w:val="21"/>
                  <w:lang w:val="en-US" w:eastAsia="zh-CN"/>
                </w:rPr>
                <m:t>g_s</m:t>
              </m:r>
              <m:r>
                <m:rPr/>
                <w:rPr>
                  <w:rFonts w:hint="default" w:ascii="Cambria Math" w:hAnsi="Cambria Math" w:eastAsia="宋体"/>
                  <w:sz w:val="21"/>
                </w:rPr>
                <m:t>ales</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m:sty m:val="p"/>
            </m:rPr>
            <w:rPr>
              <w:rFonts w:hint="default" w:ascii="Cambria Math" w:hAnsi="Cambria Math" w:eastAsia="宋体"/>
              <w:sz w:val="21"/>
              <w:lang w:val="en-US" w:eastAsia="zh-CN"/>
            </w:rPr>
            <m:t>=</m:t>
          </m:r>
          <m:sSub>
            <m:sSubPr>
              <m:ctrlPr>
                <w:rPr>
                  <w:rFonts w:hint="default" w:ascii="Cambria Math" w:hAnsi="Cambria Math" w:eastAsia="宋体"/>
                  <w:sz w:val="21"/>
                </w:rPr>
              </m:ctrlPr>
            </m:sSubPr>
            <m:e>
              <m:r>
                <m:rPr/>
                <w:rPr>
                  <w:rFonts w:hint="default" w:ascii="Cambria Math" w:hAnsi="Cambria Math" w:eastAsia="宋体"/>
                  <w:sz w:val="21"/>
                </w:rPr>
                <m:t>α</m:t>
              </m:r>
              <m:ctrlPr>
                <w:rPr>
                  <w:rFonts w:hint="default" w:ascii="Cambria Math" w:hAnsi="Cambria Math" w:eastAsia="宋体"/>
                  <w:sz w:val="21"/>
                </w:rPr>
              </m:ctrlPr>
            </m:e>
            <m:sub>
              <m:r>
                <m:rPr/>
                <w:rPr>
                  <w:rFonts w:hint="default" w:ascii="Cambria Math" w:hAnsi="Cambria Math" w:eastAsia="宋体"/>
                  <w:sz w:val="21"/>
                </w:rPr>
                <m:t>0</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α</m:t>
              </m:r>
              <m:ctrlPr>
                <w:rPr>
                  <w:rFonts w:hint="default" w:ascii="Cambria Math" w:hAnsi="Cambria Math" w:eastAsia="宋体"/>
                  <w:sz w:val="21"/>
                </w:rPr>
              </m:ctrlPr>
            </m:e>
            <m:sub>
              <m:r>
                <m:rPr/>
                <w:rPr>
                  <w:rFonts w:hint="default" w:ascii="Cambria Math" w:hAnsi="Cambria Math" w:eastAsia="宋体"/>
                  <w:sz w:val="21"/>
                </w:rPr>
                <m:t>1</m:t>
              </m:r>
              <m:ctrlPr>
                <w:rPr>
                  <w:rFonts w:hint="default"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tota</m:t>
              </m:r>
              <m:r>
                <m:rPr/>
                <w:rPr>
                  <w:rFonts w:hint="default" w:ascii="Cambria Math" w:hAnsi="Cambria Math" w:eastAsia="宋体"/>
                  <w:sz w:val="21"/>
                  <w:lang w:val="en-US" w:eastAsia="zh-CN"/>
                </w:rPr>
                <m:t>l_p</m:t>
              </m:r>
              <m:r>
                <m:rPr/>
                <w:rPr>
                  <w:rFonts w:hint="default" w:ascii="Cambria Math" w:hAnsi="Cambria Math" w:eastAsia="宋体"/>
                  <w:sz w:val="21"/>
                </w:rPr>
                <m:t>os</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α</m:t>
              </m:r>
              <m:ctrlPr>
                <w:rPr>
                  <w:rFonts w:hint="default" w:ascii="Cambria Math" w:hAnsi="Cambria Math" w:eastAsia="宋体"/>
                  <w:sz w:val="21"/>
                </w:rPr>
              </m:ctrlPr>
            </m:e>
            <m:sub>
              <m:r>
                <m:rPr/>
                <w:rPr>
                  <w:rFonts w:hint="default" w:ascii="Cambria Math" w:hAnsi="Cambria Math" w:eastAsia="宋体"/>
                  <w:sz w:val="21"/>
                </w:rPr>
                <m:t>2</m:t>
              </m:r>
              <m:ctrlPr>
                <w:rPr>
                  <w:rFonts w:hint="default"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tota</m:t>
              </m:r>
              <m:r>
                <m:rPr/>
                <w:rPr>
                  <w:rFonts w:hint="default" w:ascii="Cambria Math" w:hAnsi="Cambria Math" w:eastAsia="宋体"/>
                  <w:sz w:val="21"/>
                  <w:lang w:val="en-US" w:eastAsia="zh-CN"/>
                </w:rPr>
                <m:t>l_n</m:t>
              </m:r>
              <m:r>
                <m:rPr/>
                <w:rPr>
                  <w:rFonts w:hint="default" w:ascii="Cambria Math" w:hAnsi="Cambria Math" w:eastAsia="宋体"/>
                  <w:sz w:val="21"/>
                </w:rPr>
                <m:t>eg</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+λControl</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ε</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oMath>
      </m:oMathPara>
    </w:p>
    <w:p w14:paraId="57572C2B">
      <w:pPr>
        <w:pStyle w:val="6"/>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ascii="Times New Roman" w:hAnsi="Times New Roman" w:eastAsia="宋体" w:cs="Times New Roman"/>
          <w:sz w:val="21"/>
        </w:rPr>
      </w:pPr>
      <w:r>
        <w:rPr>
          <w:rFonts w:hint="eastAsia" w:ascii="Times New Roman" w:hAnsi="Times New Roman" w:eastAsia="宋体" w:cs="Times New Roman"/>
          <w:sz w:val="21"/>
        </w:rPr>
        <w:t>为检验真实购买占比的调节作用，本文对</w:t>
      </w:r>
      <w:r>
        <w:rPr>
          <w:rFonts w:ascii="Times New Roman" w:hAnsi="Times New Roman" w:eastAsia="宋体" w:cs="Times New Roman"/>
          <w:sz w:val="21"/>
        </w:rPr>
        <w:t xml:space="preserve"> mean_incre </w:t>
      </w:r>
      <w:r>
        <w:rPr>
          <w:rFonts w:hint="eastAsia" w:ascii="Times New Roman" w:hAnsi="Times New Roman" w:eastAsia="宋体" w:cs="Times New Roman"/>
          <w:sz w:val="21"/>
        </w:rPr>
        <w:t>和</w:t>
      </w:r>
      <w:r>
        <w:rPr>
          <w:rFonts w:ascii="Times New Roman" w:hAnsi="Times New Roman" w:eastAsia="宋体" w:cs="Times New Roman"/>
          <w:sz w:val="21"/>
        </w:rPr>
        <w:t xml:space="preserve"> buy_ratio </w:t>
      </w:r>
      <w:r>
        <w:rPr>
          <w:rFonts w:hint="eastAsia" w:ascii="Times New Roman" w:hAnsi="Times New Roman" w:eastAsia="宋体" w:cs="Times New Roman"/>
          <w:sz w:val="21"/>
        </w:rPr>
        <w:t>进行中心化处理，并加入交互项：</w:t>
      </w:r>
    </w:p>
    <w:p w14:paraId="6FA5A7CF">
      <w:pPr>
        <w:pStyle w:val="6"/>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lo</m:t>
              </m:r>
              <m:r>
                <m:rPr/>
                <w:rPr>
                  <w:rFonts w:hint="default" w:ascii="Cambria Math" w:hAnsi="Cambria Math" w:eastAsia="宋体"/>
                  <w:sz w:val="21"/>
                  <w:lang w:val="en-US" w:eastAsia="zh-CN"/>
                </w:rPr>
                <m:t>g_s</m:t>
              </m:r>
              <m:r>
                <m:rPr/>
                <w:rPr>
                  <w:rFonts w:hint="default" w:ascii="Cambria Math" w:hAnsi="Cambria Math" w:eastAsia="宋体"/>
                  <w:sz w:val="21"/>
                </w:rPr>
                <m:t>ales</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γ</m:t>
              </m:r>
              <m:ctrlPr>
                <w:rPr>
                  <w:rFonts w:hint="default" w:ascii="Cambria Math" w:hAnsi="Cambria Math" w:eastAsia="宋体"/>
                  <w:sz w:val="21"/>
                </w:rPr>
              </m:ctrlPr>
            </m:e>
            <m:sub>
              <m:r>
                <m:rPr/>
                <w:rPr>
                  <w:rFonts w:hint="default" w:ascii="Cambria Math" w:hAnsi="Cambria Math" w:eastAsia="宋体"/>
                  <w:sz w:val="21"/>
                </w:rPr>
                <m:t>0</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γ</m:t>
              </m:r>
              <m:ctrlPr>
                <w:rPr>
                  <w:rFonts w:hint="default" w:ascii="Cambria Math" w:hAnsi="Cambria Math" w:eastAsia="宋体"/>
                  <w:sz w:val="21"/>
                </w:rPr>
              </m:ctrlPr>
            </m:e>
            <m:sub>
              <m:r>
                <m:rPr/>
                <w:rPr>
                  <w:rFonts w:hint="default" w:ascii="Cambria Math" w:hAnsi="Cambria Math" w:eastAsia="宋体"/>
                  <w:sz w:val="21"/>
                </w:rPr>
                <m:t>1</m:t>
              </m:r>
              <m:ctrlPr>
                <w:rPr>
                  <w:rFonts w:hint="default"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lang w:val="en-US" w:eastAsia="zh-CN"/>
                </w:rPr>
                <m:t>c_i</m:t>
              </m:r>
              <m:r>
                <m:rPr/>
                <w:rPr>
                  <w:rFonts w:hint="default" w:ascii="Cambria Math" w:hAnsi="Cambria Math" w:eastAsia="宋体"/>
                  <w:sz w:val="21"/>
                </w:rPr>
                <m:t>ncre</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γ</m:t>
              </m:r>
              <m:ctrlPr>
                <w:rPr>
                  <w:rFonts w:hint="default" w:ascii="Cambria Math" w:hAnsi="Cambria Math" w:eastAsia="宋体"/>
                  <w:sz w:val="21"/>
                </w:rPr>
              </m:ctrlPr>
            </m:e>
            <m:sub>
              <m:r>
                <m:rPr/>
                <w:rPr>
                  <w:rFonts w:hint="default" w:ascii="Cambria Math" w:hAnsi="Cambria Math" w:eastAsia="宋体"/>
                  <w:sz w:val="21"/>
                </w:rPr>
                <m:t>2</m:t>
              </m:r>
              <m:ctrlPr>
                <w:rPr>
                  <w:rFonts w:hint="default"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lang w:val="en-US" w:eastAsia="zh-CN"/>
                </w:rPr>
                <m:t>c_i</m:t>
              </m:r>
              <m:r>
                <m:rPr/>
                <w:rPr>
                  <w:rFonts w:hint="default" w:ascii="Cambria Math" w:hAnsi="Cambria Math" w:eastAsia="宋体"/>
                  <w:sz w:val="21"/>
                </w:rPr>
                <m:t>ncr</m:t>
              </m:r>
              <m:r>
                <m:rPr/>
                <w:rPr>
                  <w:rFonts w:hint="default" w:ascii="Cambria Math" w:hAnsi="Cambria Math" w:eastAsia="宋体"/>
                  <w:sz w:val="21"/>
                  <w:lang w:val="en-US" w:eastAsia="zh-CN"/>
                </w:rPr>
                <m:t>e_s</m:t>
              </m:r>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γ</m:t>
              </m:r>
              <m:ctrlPr>
                <w:rPr>
                  <w:rFonts w:hint="default" w:ascii="Cambria Math" w:hAnsi="Cambria Math" w:eastAsia="宋体"/>
                  <w:sz w:val="21"/>
                </w:rPr>
              </m:ctrlPr>
            </m:e>
            <m:sub>
              <m:r>
                <m:rPr/>
                <w:rPr>
                  <w:rFonts w:hint="default" w:ascii="Cambria Math" w:hAnsi="Cambria Math" w:eastAsia="宋体"/>
                  <w:sz w:val="21"/>
                </w:rPr>
                <m:t>3</m:t>
              </m:r>
              <m:ctrlPr>
                <w:rPr>
                  <w:rFonts w:hint="default"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lang w:val="en-US" w:eastAsia="zh-CN"/>
                </w:rPr>
                <m:t>c_b</m:t>
              </m:r>
              <m:r>
                <m:rPr/>
                <w:rPr>
                  <w:rFonts w:hint="default" w:ascii="Cambria Math" w:hAnsi="Cambria Math" w:eastAsia="宋体"/>
                  <w:sz w:val="21"/>
                </w:rPr>
                <m:t>uy</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γ</m:t>
              </m:r>
              <m:ctrlPr>
                <w:rPr>
                  <w:rFonts w:hint="default" w:ascii="Cambria Math" w:hAnsi="Cambria Math" w:eastAsia="宋体"/>
                  <w:sz w:val="21"/>
                </w:rPr>
              </m:ctrlPr>
            </m:e>
            <m:sub>
              <m:r>
                <m:rPr/>
                <w:rPr>
                  <w:rFonts w:hint="default" w:ascii="Cambria Math" w:hAnsi="Cambria Math" w:eastAsia="宋体"/>
                  <w:sz w:val="21"/>
                </w:rPr>
                <m:t>4</m:t>
              </m:r>
              <m:ctrlPr>
                <w:rPr>
                  <w:rFonts w:hint="default" w:ascii="Cambria Math" w:hAnsi="Cambria Math" w:eastAsia="宋体"/>
                  <w:sz w:val="21"/>
                </w:rPr>
              </m:ctrlPr>
            </m:sub>
          </m:sSub>
          <m:r>
            <m:rPr/>
            <w:rPr>
              <w:rFonts w:hint="default" w:ascii="Cambria Math" w:hAnsi="Cambria Math" w:eastAsia="宋体"/>
              <w:sz w:val="21"/>
            </w:rPr>
            <m:t>Interactio</m:t>
          </m:r>
          <m:sSub>
            <m:sSubPr>
              <m:ctrlPr>
                <w:rPr>
                  <w:rFonts w:hint="default" w:ascii="Cambria Math" w:hAnsi="Cambria Math" w:eastAsia="宋体"/>
                  <w:sz w:val="21"/>
                </w:rPr>
              </m:ctrlPr>
            </m:sSubPr>
            <m:e>
              <m:r>
                <m:rPr/>
                <w:rPr>
                  <w:rFonts w:hint="default" w:ascii="Cambria Math" w:hAnsi="Cambria Math" w:eastAsia="宋体"/>
                  <w:sz w:val="21"/>
                </w:rPr>
                <m:t>n</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+λControl</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ε</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oMath>
      </m:oMathPara>
    </w:p>
    <w:p w14:paraId="7EBB7979">
      <w:pPr>
        <w:pStyle w:val="6"/>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ascii="Times New Roman" w:hAnsi="Times New Roman" w:eastAsia="宋体" w:cs="Times New Roman"/>
          <w:sz w:val="21"/>
        </w:rPr>
      </w:pPr>
      <w:r>
        <w:rPr>
          <w:rFonts w:hint="eastAsia" w:ascii="Times New Roman" w:hAnsi="Times New Roman" w:eastAsia="宋体" w:cs="Times New Roman"/>
          <w:sz w:val="21"/>
        </w:rPr>
        <w:t>为检验价格异质性的调节作用，本文以中价组为基准组，加入低价组、高价组虚拟变量及其与增量信息密度的交互项：</w:t>
      </w:r>
    </w:p>
    <w:p w14:paraId="6F02D7EE">
      <w:pPr>
        <w:pStyle w:val="6"/>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lo</m:t>
              </m:r>
              <m:r>
                <m:rPr/>
                <w:rPr>
                  <w:rFonts w:hint="default" w:ascii="Cambria Math" w:hAnsi="Cambria Math" w:eastAsia="宋体"/>
                  <w:sz w:val="21"/>
                  <w:lang w:val="en-US" w:eastAsia="zh-CN"/>
                </w:rPr>
                <m:t>g_s</m:t>
              </m:r>
              <m:r>
                <m:rPr/>
                <w:rPr>
                  <w:rFonts w:hint="default" w:ascii="Cambria Math" w:hAnsi="Cambria Math" w:eastAsia="宋体"/>
                  <w:sz w:val="21"/>
                </w:rPr>
                <m:t>ales</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δ</m:t>
              </m:r>
              <m:ctrlPr>
                <w:rPr>
                  <w:rFonts w:hint="default" w:ascii="Cambria Math" w:hAnsi="Cambria Math" w:eastAsia="宋体"/>
                  <w:sz w:val="21"/>
                </w:rPr>
              </m:ctrlPr>
            </m:e>
            <m:sub>
              <m:r>
                <m:rPr/>
                <w:rPr>
                  <w:rFonts w:hint="default" w:ascii="Cambria Math" w:hAnsi="Cambria Math" w:eastAsia="宋体"/>
                  <w:sz w:val="21"/>
                </w:rPr>
                <m:t>0</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δ</m:t>
              </m:r>
              <m:ctrlPr>
                <w:rPr>
                  <w:rFonts w:hint="default" w:ascii="Cambria Math" w:hAnsi="Cambria Math" w:eastAsia="宋体"/>
                  <w:sz w:val="21"/>
                </w:rPr>
              </m:ctrlPr>
            </m:e>
            <m:sub>
              <m:r>
                <m:rPr/>
                <w:rPr>
                  <w:rFonts w:hint="default" w:ascii="Cambria Math" w:hAnsi="Cambria Math" w:eastAsia="宋体"/>
                  <w:sz w:val="21"/>
                </w:rPr>
                <m:t>1</m:t>
              </m:r>
              <m:ctrlPr>
                <w:rPr>
                  <w:rFonts w:hint="default"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lang w:val="en-US" w:eastAsia="zh-CN"/>
                </w:rPr>
                <m:t>c_i</m:t>
              </m:r>
              <m:r>
                <m:rPr/>
                <w:rPr>
                  <w:rFonts w:hint="default" w:ascii="Cambria Math" w:hAnsi="Cambria Math" w:eastAsia="宋体"/>
                  <w:sz w:val="21"/>
                </w:rPr>
                <m:t>ncre</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δ</m:t>
              </m:r>
              <m:ctrlPr>
                <w:rPr>
                  <w:rFonts w:hint="default" w:ascii="Cambria Math" w:hAnsi="Cambria Math" w:eastAsia="宋体"/>
                  <w:sz w:val="21"/>
                </w:rPr>
              </m:ctrlPr>
            </m:e>
            <m:sub>
              <m:r>
                <m:rPr/>
                <w:rPr>
                  <w:rFonts w:hint="default" w:ascii="Cambria Math" w:hAnsi="Cambria Math" w:eastAsia="宋体"/>
                  <w:sz w:val="21"/>
                </w:rPr>
                <m:t>2</m:t>
              </m:r>
              <m:ctrlPr>
                <w:rPr>
                  <w:rFonts w:hint="default"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lang w:val="en-US" w:eastAsia="zh-CN"/>
                </w:rPr>
                <m:t>c_i</m:t>
              </m:r>
              <m:r>
                <m:rPr/>
                <w:rPr>
                  <w:rFonts w:hint="default" w:ascii="Cambria Math" w:hAnsi="Cambria Math" w:eastAsia="宋体"/>
                  <w:sz w:val="21"/>
                </w:rPr>
                <m:t>ncr</m:t>
              </m:r>
              <m:r>
                <m:rPr/>
                <w:rPr>
                  <w:rFonts w:hint="default" w:ascii="Cambria Math" w:hAnsi="Cambria Math" w:eastAsia="宋体"/>
                  <w:sz w:val="21"/>
                  <w:lang w:val="en-US" w:eastAsia="zh-CN"/>
                </w:rPr>
                <m:t>e_s</m:t>
              </m:r>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δ</m:t>
              </m:r>
              <m:ctrlPr>
                <w:rPr>
                  <w:rFonts w:hint="default" w:ascii="Cambria Math" w:hAnsi="Cambria Math" w:eastAsia="宋体"/>
                  <w:sz w:val="21"/>
                </w:rPr>
              </m:ctrlPr>
            </m:e>
            <m:sub>
              <m:r>
                <m:rPr/>
                <w:rPr>
                  <w:rFonts w:hint="default" w:ascii="Cambria Math" w:hAnsi="Cambria Math" w:eastAsia="宋体"/>
                  <w:sz w:val="21"/>
                </w:rPr>
                <m:t>3</m:t>
              </m:r>
              <m:ctrlPr>
                <w:rPr>
                  <w:rFonts w:hint="default" w:ascii="Cambria Math" w:hAnsi="Cambria Math" w:eastAsia="宋体"/>
                  <w:sz w:val="21"/>
                </w:rPr>
              </m:ctrlPr>
            </m:sub>
          </m:sSub>
          <m:r>
            <m:rPr/>
            <w:rPr>
              <w:rFonts w:hint="default" w:ascii="Cambria Math" w:hAnsi="Cambria Math" w:eastAsia="宋体"/>
              <w:sz w:val="21"/>
            </w:rPr>
            <m:t>P</m:t>
          </m:r>
          <m:sSub>
            <m:sSubPr>
              <m:ctrlPr>
                <w:rPr>
                  <w:rFonts w:hint="default" w:ascii="Cambria Math" w:hAnsi="Cambria Math" w:eastAsia="宋体"/>
                  <w:sz w:val="21"/>
                </w:rPr>
              </m:ctrlPr>
            </m:sSubPr>
            <m:e>
              <m:r>
                <m:rPr/>
                <w:rPr>
                  <w:rFonts w:hint="default" w:ascii="Cambria Math" w:hAnsi="Cambria Math" w:eastAsia="宋体"/>
                  <w:sz w:val="21"/>
                </w:rPr>
                <m:t>G</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δ</m:t>
              </m:r>
              <m:ctrlPr>
                <w:rPr>
                  <w:rFonts w:hint="default" w:ascii="Cambria Math" w:hAnsi="Cambria Math" w:eastAsia="宋体"/>
                  <w:sz w:val="21"/>
                </w:rPr>
              </m:ctrlPr>
            </m:e>
            <m:sub>
              <m:r>
                <m:rPr/>
                <w:rPr>
                  <w:rFonts w:hint="default" w:ascii="Cambria Math" w:hAnsi="Cambria Math" w:eastAsia="宋体"/>
                  <w:sz w:val="21"/>
                </w:rPr>
                <m:t>4</m:t>
              </m:r>
              <m:ctrlPr>
                <w:rPr>
                  <w:rFonts w:hint="default" w:ascii="Cambria Math" w:hAnsi="Cambria Math" w:eastAsia="宋体"/>
                  <w:sz w:val="21"/>
                </w:rPr>
              </m:ctrlPr>
            </m:sub>
          </m:sSub>
          <m:r>
            <m:rPr/>
            <w:rPr>
              <w:rFonts w:hint="default" w:ascii="Cambria Math" w:hAnsi="Cambria Math" w:eastAsia="宋体"/>
              <w:sz w:val="21"/>
            </w:rPr>
            <m:t>P</m:t>
          </m:r>
          <m:sSub>
            <m:sSubPr>
              <m:ctrlPr>
                <w:rPr>
                  <w:rFonts w:hint="default" w:ascii="Cambria Math" w:hAnsi="Cambria Math" w:eastAsia="宋体"/>
                  <w:sz w:val="21"/>
                </w:rPr>
              </m:ctrlPr>
            </m:sSubPr>
            <m:e>
              <m:r>
                <m:rPr/>
                <w:rPr>
                  <w:rFonts w:hint="default" w:ascii="Cambria Math" w:hAnsi="Cambria Math" w:eastAsia="宋体"/>
                  <w:sz w:val="21"/>
                </w:rPr>
                <m:t>I</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+λControl</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ε</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oMath>
      </m:oMathPara>
    </w:p>
    <w:p w14:paraId="3A87F3AD">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hint="default" w:ascii="Times New Roman" w:hAnsi="Times New Roman" w:eastAsia="宋体"/>
          <w:i w:val="0"/>
          <w:sz w:val="21"/>
        </w:rPr>
      </w:pPr>
      <w:r>
        <w:rPr>
          <w:rFonts w:hint="default" w:ascii="Times New Roman" w:hAnsi="Times New Roman" w:eastAsia="宋体"/>
          <w:i w:val="0"/>
          <w:sz w:val="21"/>
        </w:rPr>
        <w:t>其中，i 表示商品个体；Controls_i 表示控制变量，具体包括商品平均评分、商品价格和用户活跃度；Interaction_i 实际包含两个交互项——c_incre × c_buy 和 c_incre_sq × c_buy，分别用于检验真实购买占比对增量信息密度线性效应和倒U型曲线效应的调节作用，并通过两个交互项的联合显著性检验判断真实购买占比的整体调节效应；PG_i 表示价格分组变量，包括低价组和高价组虚拟变量，其中中价组作为基准组；PI_i 表示价格分组变量与增量信息密度之间的交互项，用于检验价格异质性的调节作用；ε_i 为随机扰动项。为缓解异方差问题对估计结果的影响，本文所有模型均采用稳健标准误进行回归估计。</w:t>
      </w:r>
    </w:p>
    <w:p w14:paraId="6A92E34C">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hint="default" w:ascii="Times New Roman" w:hAnsi="Times New Roman" w:eastAsia="宋体"/>
          <w:i w:val="0"/>
          <w:sz w:val="21"/>
        </w:rPr>
      </w:pPr>
      <w:r>
        <w:rPr>
          <w:rFonts w:hint="default" w:ascii="Times New Roman" w:hAnsi="Times New Roman" w:eastAsia="宋体"/>
          <w:i w:val="0"/>
          <w:sz w:val="21"/>
        </w:rPr>
        <w:t xml:space="preserve">为避免多重共线性对估计结果的影响，本文对所有回归模型进行方差膨胀因子（VIF）检验。结果表明，各模型自变量的VIF值均远低于经验临界值10，其中最大的为H1二次模型（Mean VIF = 3.03），H3调节模型（Mean VIF = 1.63），H4价格模型（Mean VIF = </w:t>
      </w:r>
      <w:r>
        <w:rPr>
          <w:rFonts w:hint="eastAsia" w:ascii="Times New Roman" w:hAnsi="Times New Roman" w:eastAsia="宋体"/>
          <w:i w:val="0"/>
          <w:sz w:val="21"/>
          <w:lang w:val="en-US" w:eastAsia="zh-CN"/>
        </w:rPr>
        <w:t>3.43</w:t>
      </w:r>
      <w:r>
        <w:rPr>
          <w:rFonts w:hint="default" w:ascii="Times New Roman" w:hAnsi="Times New Roman" w:eastAsia="宋体"/>
          <w:i w:val="0"/>
          <w:sz w:val="21"/>
        </w:rPr>
        <w:t>），说明模型不存在严重的多重共线性问题。交互项模型中，中心化处理有效降低了平方项与一次项、交互项与主项之间的相关性。</w:t>
      </w:r>
    </w:p>
    <w:p w14:paraId="14DEA436">
      <w:pPr>
        <w:pStyle w:val="6"/>
        <w:keepNext w:val="0"/>
        <w:keepLines w:val="0"/>
        <w:pageBreakBefore w:val="0"/>
        <w:widowControl/>
        <w:kinsoku/>
        <w:wordWrap/>
        <w:overflowPunct/>
        <w:topLinePunct w:val="0"/>
        <w:autoSpaceDE/>
        <w:autoSpaceDN/>
        <w:bidi w:val="0"/>
        <w:adjustRightInd/>
        <w:snapToGrid/>
        <w:spacing w:before="0" w:after="0" w:line="240" w:lineRule="auto"/>
        <w:ind w:firstLine="420" w:firstLineChars="200"/>
        <w:jc w:val="left"/>
        <w:textAlignment w:val="auto"/>
        <w:rPr>
          <w:rFonts w:hint="default" w:ascii="Times New Roman" w:hAnsi="Times New Roman" w:eastAsia="宋体"/>
          <w:i w:val="0"/>
          <w:sz w:val="21"/>
        </w:rPr>
      </w:pPr>
    </w:p>
    <w:p w14:paraId="54B6D464">
      <w:pPr>
        <w:pStyle w:val="3"/>
        <w:spacing w:beforeAutospacing="0" w:afterAutospacing="0"/>
        <w:rPr>
          <w:rFonts w:hint="eastAsia"/>
          <w:lang w:val="en-US" w:eastAsia="zh-CN"/>
        </w:rPr>
      </w:pPr>
      <w:r>
        <w:rPr>
          <w:rFonts w:hint="eastAsia"/>
          <w:lang w:val="en-US" w:eastAsia="zh-CN"/>
        </w:rPr>
        <w:t>4 实证结果分析</w:t>
      </w:r>
    </w:p>
    <w:p w14:paraId="556187A6">
      <w:pPr>
        <w:pStyle w:val="4"/>
        <w:spacing w:beforeAutospacing="0" w:afterAutospacing="0"/>
        <w:rPr>
          <w:rFonts w:hint="eastAsia" w:ascii="宋体" w:hAnsi="宋体" w:eastAsia="宋体" w:cs="宋体"/>
          <w:b/>
          <w:bCs/>
          <w:sz w:val="18"/>
          <w:szCs w:val="18"/>
        </w:rPr>
      </w:pPr>
      <w:r>
        <w:rPr>
          <w:rFonts w:hint="eastAsia"/>
          <w:sz w:val="21"/>
          <w:szCs w:val="21"/>
          <w:lang w:val="en-US" w:eastAsia="zh-CN"/>
        </w:rPr>
        <w:t>4</w:t>
      </w:r>
      <w:r>
        <w:rPr>
          <w:sz w:val="21"/>
          <w:szCs w:val="21"/>
        </w:rPr>
        <w:t>.</w:t>
      </w:r>
      <w:r>
        <w:rPr>
          <w:rFonts w:hint="eastAsia"/>
          <w:sz w:val="21"/>
          <w:szCs w:val="21"/>
          <w:lang w:val="en-US" w:eastAsia="zh-CN"/>
        </w:rPr>
        <w:t>1 描述性统计分析</w:t>
      </w:r>
    </w:p>
    <w:tbl>
      <w:tblPr>
        <w:tblStyle w:val="8"/>
        <w:tblW w:w="87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53"/>
        <w:gridCol w:w="1453"/>
        <w:gridCol w:w="1453"/>
        <w:gridCol w:w="1453"/>
        <w:gridCol w:w="1453"/>
        <w:gridCol w:w="1453"/>
      </w:tblGrid>
      <w:tr w14:paraId="132C2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453" w:type="dxa"/>
            <w:tcBorders>
              <w:top w:val="single" w:color="auto" w:sz="4" w:space="0"/>
              <w:left w:val="nil"/>
              <w:bottom w:val="nil"/>
              <w:right w:val="nil"/>
              <w:tl2br w:val="nil"/>
              <w:tr2bl w:val="nil"/>
            </w:tcBorders>
            <w:noWrap w:val="0"/>
            <w:vAlign w:val="top"/>
          </w:tcPr>
          <w:p w14:paraId="3630A4F0">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cr/>
            </w:r>
            <w:r>
              <w:rPr>
                <w:rFonts w:hint="default" w:ascii="Times New Roman" w:hAnsi="Times New Roman" w:eastAsia="宋体" w:cs="Times New Roman"/>
                <w:kern w:val="2"/>
                <w:sz w:val="24"/>
                <w:szCs w:val="24"/>
              </w:rPr>
              <w:t>
</w:t>
            </w:r>
          </w:p>
        </w:tc>
        <w:tc>
          <w:tcPr>
            <w:tcW w:w="1453" w:type="dxa"/>
            <w:tcBorders>
              <w:top w:val="single" w:color="auto" w:sz="4" w:space="0"/>
              <w:left w:val="nil"/>
              <w:bottom w:val="nil"/>
              <w:right w:val="nil"/>
              <w:tl2br w:val="nil"/>
              <w:tr2bl w:val="nil"/>
            </w:tcBorders>
            <w:noWrap w:val="0"/>
            <w:vAlign w:val="top"/>
          </w:tcPr>
          <w:p w14:paraId="4A97E930">
            <w:pPr>
              <w:spacing w:beforeLines="0" w:after="0" w:afterLines="0"/>
              <w:jc w:val="both"/>
              <w:rPr>
                <w:rFonts w:hint="default" w:ascii="Times New Roman" w:hAnsi="Times New Roman" w:eastAsia="宋体" w:cs="Times New Roman"/>
                <w:kern w:val="2"/>
                <w:sz w:val="24"/>
                <w:szCs w:val="24"/>
              </w:rPr>
            </w:pPr>
          </w:p>
        </w:tc>
        <w:tc>
          <w:tcPr>
            <w:tcW w:w="1453" w:type="dxa"/>
            <w:tcBorders>
              <w:top w:val="single" w:color="auto" w:sz="4" w:space="0"/>
              <w:left w:val="nil"/>
              <w:bottom w:val="nil"/>
              <w:right w:val="nil"/>
              <w:tl2br w:val="nil"/>
              <w:tr2bl w:val="nil"/>
            </w:tcBorders>
            <w:noWrap w:val="0"/>
            <w:vAlign w:val="top"/>
          </w:tcPr>
          <w:p w14:paraId="034C3131">
            <w:pPr>
              <w:spacing w:beforeLines="0" w:after="0" w:afterLines="0"/>
              <w:jc w:val="center"/>
              <w:rPr>
                <w:rFonts w:hint="default" w:ascii="Times New Roman" w:hAnsi="Times New Roman" w:eastAsia="宋体" w:cs="Times New Roman"/>
                <w:kern w:val="2"/>
                <w:sz w:val="24"/>
                <w:szCs w:val="24"/>
              </w:rPr>
            </w:pPr>
          </w:p>
        </w:tc>
        <w:tc>
          <w:tcPr>
            <w:tcW w:w="1453" w:type="dxa"/>
            <w:tcBorders>
              <w:top w:val="single" w:color="auto" w:sz="4" w:space="0"/>
              <w:left w:val="nil"/>
              <w:bottom w:val="nil"/>
              <w:right w:val="nil"/>
              <w:tl2br w:val="nil"/>
              <w:tr2bl w:val="nil"/>
            </w:tcBorders>
            <w:noWrap w:val="0"/>
            <w:vAlign w:val="top"/>
          </w:tcPr>
          <w:p w14:paraId="61B7CD29">
            <w:pPr>
              <w:spacing w:beforeLines="0" w:after="0" w:afterLines="0"/>
              <w:jc w:val="center"/>
              <w:rPr>
                <w:rFonts w:hint="default" w:ascii="Times New Roman" w:hAnsi="Times New Roman" w:eastAsia="宋体" w:cs="Times New Roman"/>
                <w:kern w:val="2"/>
                <w:sz w:val="24"/>
                <w:szCs w:val="24"/>
              </w:rPr>
            </w:pPr>
          </w:p>
        </w:tc>
        <w:tc>
          <w:tcPr>
            <w:tcW w:w="1453" w:type="dxa"/>
            <w:tcBorders>
              <w:top w:val="single" w:color="auto" w:sz="4" w:space="0"/>
              <w:left w:val="nil"/>
              <w:bottom w:val="nil"/>
              <w:right w:val="nil"/>
              <w:tl2br w:val="nil"/>
              <w:tr2bl w:val="nil"/>
            </w:tcBorders>
            <w:noWrap w:val="0"/>
            <w:vAlign w:val="top"/>
          </w:tcPr>
          <w:p w14:paraId="3C414AC6">
            <w:pPr>
              <w:spacing w:beforeLines="0" w:after="0" w:afterLines="0"/>
              <w:jc w:val="center"/>
              <w:rPr>
                <w:rFonts w:hint="default" w:ascii="Times New Roman" w:hAnsi="Times New Roman" w:eastAsia="宋体" w:cs="Times New Roman"/>
                <w:kern w:val="2"/>
                <w:sz w:val="24"/>
                <w:szCs w:val="24"/>
              </w:rPr>
            </w:pPr>
          </w:p>
        </w:tc>
        <w:tc>
          <w:tcPr>
            <w:tcW w:w="1453" w:type="dxa"/>
            <w:tcBorders>
              <w:top w:val="single" w:color="auto" w:sz="4" w:space="0"/>
              <w:left w:val="nil"/>
              <w:bottom w:val="nil"/>
              <w:right w:val="nil"/>
              <w:tl2br w:val="nil"/>
              <w:tr2bl w:val="nil"/>
            </w:tcBorders>
            <w:noWrap w:val="0"/>
            <w:vAlign w:val="top"/>
          </w:tcPr>
          <w:p w14:paraId="3D723B4F">
            <w:pPr>
              <w:spacing w:beforeLines="0" w:after="0" w:afterLines="0"/>
              <w:jc w:val="center"/>
              <w:rPr>
                <w:rFonts w:hint="default" w:ascii="Times New Roman" w:hAnsi="Times New Roman" w:eastAsia="宋体" w:cs="Times New Roman"/>
                <w:kern w:val="2"/>
                <w:sz w:val="24"/>
                <w:szCs w:val="24"/>
              </w:rPr>
            </w:pPr>
          </w:p>
        </w:tc>
      </w:tr>
      <w:tr w14:paraId="56003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 w:hRule="atLeast"/>
        </w:trPr>
        <w:tc>
          <w:tcPr>
            <w:tcW w:w="1453" w:type="dxa"/>
            <w:tcBorders>
              <w:top w:val="nil"/>
              <w:left w:val="nil"/>
              <w:bottom w:val="nil"/>
              <w:right w:val="nil"/>
              <w:tl2br w:val="nil"/>
              <w:tr2bl w:val="nil"/>
            </w:tcBorders>
            <w:noWrap w:val="0"/>
            <w:vAlign w:val="top"/>
          </w:tcPr>
          <w:p w14:paraId="58BC354F">
            <w:pPr>
              <w:spacing w:beforeLines="0" w:after="0" w:afterLines="0"/>
              <w:jc w:val="left"/>
              <w:rPr>
                <w:rFonts w:hint="default" w:ascii="Times New Roman" w:hAnsi="Times New Roman" w:eastAsia="宋体" w:cs="Times New Roman"/>
                <w:kern w:val="2"/>
                <w:sz w:val="24"/>
                <w:szCs w:val="24"/>
              </w:rPr>
            </w:pPr>
          </w:p>
        </w:tc>
        <w:tc>
          <w:tcPr>
            <w:tcW w:w="1453" w:type="dxa"/>
            <w:tcBorders>
              <w:top w:val="nil"/>
              <w:left w:val="nil"/>
              <w:bottom w:val="nil"/>
              <w:right w:val="nil"/>
              <w:tl2br w:val="nil"/>
              <w:tr2bl w:val="nil"/>
            </w:tcBorders>
            <w:noWrap w:val="0"/>
            <w:vAlign w:val="top"/>
          </w:tcPr>
          <w:p w14:paraId="665078D3">
            <w:pPr>
              <w:spacing w:beforeLines="0" w:after="0" w:afterLines="0"/>
              <w:jc w:val="center"/>
              <w:rPr>
                <w:rFonts w:hint="default" w:ascii="Times New Roman" w:hAnsi="Times New Roman" w:eastAsia="宋体" w:cs="Times New Roman"/>
                <w:kern w:val="2"/>
                <w:sz w:val="24"/>
                <w:szCs w:val="24"/>
              </w:rPr>
            </w:pPr>
          </w:p>
        </w:tc>
        <w:tc>
          <w:tcPr>
            <w:tcW w:w="1453" w:type="dxa"/>
            <w:tcBorders>
              <w:top w:val="nil"/>
              <w:left w:val="nil"/>
              <w:bottom w:val="nil"/>
              <w:right w:val="nil"/>
              <w:tl2br w:val="nil"/>
              <w:tr2bl w:val="nil"/>
            </w:tcBorders>
            <w:noWrap w:val="0"/>
            <w:vAlign w:val="top"/>
          </w:tcPr>
          <w:p w14:paraId="619967D1">
            <w:pPr>
              <w:spacing w:beforeLines="0" w:after="0" w:afterLines="0"/>
              <w:jc w:val="center"/>
              <w:rPr>
                <w:rFonts w:hint="default" w:ascii="Times New Roman" w:hAnsi="Times New Roman" w:eastAsia="宋体" w:cs="Times New Roman"/>
                <w:kern w:val="2"/>
                <w:sz w:val="24"/>
                <w:szCs w:val="24"/>
              </w:rPr>
            </w:pPr>
          </w:p>
        </w:tc>
        <w:tc>
          <w:tcPr>
            <w:tcW w:w="1453" w:type="dxa"/>
            <w:tcBorders>
              <w:top w:val="nil"/>
              <w:left w:val="nil"/>
              <w:bottom w:val="nil"/>
              <w:right w:val="nil"/>
              <w:tl2br w:val="nil"/>
              <w:tr2bl w:val="nil"/>
            </w:tcBorders>
            <w:noWrap w:val="0"/>
            <w:vAlign w:val="top"/>
          </w:tcPr>
          <w:p w14:paraId="2B92025F">
            <w:pPr>
              <w:spacing w:beforeLines="0" w:after="0" w:afterLines="0"/>
              <w:jc w:val="center"/>
              <w:rPr>
                <w:rFonts w:hint="default" w:ascii="Times New Roman" w:hAnsi="Times New Roman" w:eastAsia="宋体" w:cs="Times New Roman"/>
                <w:kern w:val="2"/>
                <w:sz w:val="24"/>
                <w:szCs w:val="24"/>
              </w:rPr>
            </w:pPr>
          </w:p>
        </w:tc>
        <w:tc>
          <w:tcPr>
            <w:tcW w:w="1453" w:type="dxa"/>
            <w:tcBorders>
              <w:top w:val="nil"/>
              <w:left w:val="nil"/>
              <w:bottom w:val="nil"/>
              <w:right w:val="nil"/>
              <w:tl2br w:val="nil"/>
              <w:tr2bl w:val="nil"/>
            </w:tcBorders>
            <w:noWrap w:val="0"/>
            <w:vAlign w:val="top"/>
          </w:tcPr>
          <w:p w14:paraId="34C572CD">
            <w:pPr>
              <w:spacing w:beforeLines="0" w:after="0" w:afterLines="0"/>
              <w:jc w:val="center"/>
              <w:rPr>
                <w:rFonts w:hint="default" w:ascii="Times New Roman" w:hAnsi="Times New Roman" w:eastAsia="宋体" w:cs="Times New Roman"/>
                <w:kern w:val="2"/>
                <w:sz w:val="24"/>
                <w:szCs w:val="24"/>
              </w:rPr>
            </w:pPr>
          </w:p>
        </w:tc>
        <w:tc>
          <w:tcPr>
            <w:tcW w:w="1453" w:type="dxa"/>
            <w:tcBorders>
              <w:top w:val="nil"/>
              <w:left w:val="nil"/>
              <w:bottom w:val="nil"/>
              <w:right w:val="nil"/>
              <w:tl2br w:val="nil"/>
              <w:tr2bl w:val="nil"/>
            </w:tcBorders>
            <w:noWrap w:val="0"/>
            <w:vAlign w:val="top"/>
          </w:tcPr>
          <w:p w14:paraId="13211891">
            <w:pPr>
              <w:spacing w:beforeLines="0" w:after="0" w:afterLines="0"/>
              <w:jc w:val="center"/>
              <w:rPr>
                <w:rFonts w:hint="default" w:ascii="Times New Roman" w:hAnsi="Times New Roman" w:eastAsia="宋体" w:cs="Times New Roman"/>
                <w:kern w:val="2"/>
                <w:sz w:val="24"/>
                <w:szCs w:val="24"/>
              </w:rPr>
            </w:pPr>
          </w:p>
        </w:tc>
      </w:tr>
      <w:tr w14:paraId="78D48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 w:hRule="atLeast"/>
        </w:trPr>
        <w:tc>
          <w:tcPr>
            <w:tcW w:w="1453" w:type="dxa"/>
            <w:tcBorders>
              <w:top w:val="nil"/>
              <w:left w:val="nil"/>
              <w:bottom w:val="nil"/>
              <w:right w:val="nil"/>
              <w:tl2br w:val="nil"/>
              <w:tr2bl w:val="nil"/>
            </w:tcBorders>
            <w:noWrap w:val="0"/>
            <w:vAlign w:val="top"/>
          </w:tcPr>
          <w:p w14:paraId="54019C8B">
            <w:pPr>
              <w:spacing w:beforeLines="0" w:after="0" w:afterLines="0"/>
              <w:jc w:val="left"/>
              <w:rPr>
                <w:rFonts w:hint="default" w:ascii="Times New Roman" w:hAnsi="Times New Roman" w:eastAsia="宋体" w:cs="Times New Roman"/>
                <w:kern w:val="2"/>
                <w:sz w:val="24"/>
                <w:szCs w:val="24"/>
              </w:rPr>
            </w:pPr>
          </w:p>
        </w:tc>
        <w:tc>
          <w:tcPr>
            <w:tcW w:w="1453" w:type="dxa"/>
            <w:tcBorders>
              <w:top w:val="nil"/>
              <w:left w:val="nil"/>
              <w:bottom w:val="nil"/>
              <w:right w:val="nil"/>
              <w:tl2br w:val="nil"/>
              <w:tr2bl w:val="nil"/>
            </w:tcBorders>
            <w:noWrap w:val="0"/>
            <w:vAlign w:val="top"/>
          </w:tcPr>
          <w:p w14:paraId="06D73254">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mean</w:t>
            </w:r>
          </w:p>
        </w:tc>
        <w:tc>
          <w:tcPr>
            <w:tcW w:w="1453" w:type="dxa"/>
            <w:tcBorders>
              <w:top w:val="nil"/>
              <w:left w:val="nil"/>
              <w:bottom w:val="nil"/>
              <w:right w:val="nil"/>
              <w:tl2br w:val="nil"/>
              <w:tr2bl w:val="nil"/>
            </w:tcBorders>
            <w:noWrap w:val="0"/>
            <w:vAlign w:val="top"/>
          </w:tcPr>
          <w:p w14:paraId="24CAC903">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sd</w:t>
            </w:r>
          </w:p>
        </w:tc>
        <w:tc>
          <w:tcPr>
            <w:tcW w:w="1453" w:type="dxa"/>
            <w:tcBorders>
              <w:top w:val="nil"/>
              <w:left w:val="nil"/>
              <w:bottom w:val="nil"/>
              <w:right w:val="nil"/>
              <w:tl2br w:val="nil"/>
              <w:tr2bl w:val="nil"/>
            </w:tcBorders>
            <w:noWrap w:val="0"/>
            <w:vAlign w:val="top"/>
          </w:tcPr>
          <w:p w14:paraId="67D39B37">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p50</w:t>
            </w:r>
          </w:p>
        </w:tc>
        <w:tc>
          <w:tcPr>
            <w:tcW w:w="1453" w:type="dxa"/>
            <w:tcBorders>
              <w:top w:val="nil"/>
              <w:left w:val="nil"/>
              <w:bottom w:val="nil"/>
              <w:right w:val="nil"/>
              <w:tl2br w:val="nil"/>
              <w:tr2bl w:val="nil"/>
            </w:tcBorders>
            <w:noWrap w:val="0"/>
            <w:vAlign w:val="top"/>
          </w:tcPr>
          <w:p w14:paraId="0388C1F0">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min</w:t>
            </w:r>
          </w:p>
        </w:tc>
        <w:tc>
          <w:tcPr>
            <w:tcW w:w="1453" w:type="dxa"/>
            <w:tcBorders>
              <w:top w:val="nil"/>
              <w:left w:val="nil"/>
              <w:bottom w:val="nil"/>
              <w:right w:val="nil"/>
              <w:tl2br w:val="nil"/>
              <w:tr2bl w:val="nil"/>
            </w:tcBorders>
            <w:noWrap w:val="0"/>
            <w:vAlign w:val="top"/>
          </w:tcPr>
          <w:p w14:paraId="62D4DDE6">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max</w:t>
            </w:r>
          </w:p>
        </w:tc>
      </w:tr>
      <w:tr w14:paraId="6A0A4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453" w:type="dxa"/>
            <w:tcBorders>
              <w:top w:val="single" w:color="auto" w:sz="4" w:space="0"/>
              <w:left w:val="nil"/>
              <w:bottom w:val="nil"/>
              <w:right w:val="nil"/>
              <w:tl2br w:val="nil"/>
              <w:tr2bl w:val="nil"/>
            </w:tcBorders>
            <w:noWrap w:val="0"/>
            <w:vAlign w:val="top"/>
          </w:tcPr>
          <w:p w14:paraId="52A6CF92">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log_sales</w:t>
            </w:r>
          </w:p>
        </w:tc>
        <w:tc>
          <w:tcPr>
            <w:tcW w:w="1453" w:type="dxa"/>
            <w:tcBorders>
              <w:top w:val="single" w:color="auto" w:sz="4" w:space="0"/>
              <w:left w:val="nil"/>
              <w:bottom w:val="nil"/>
              <w:right w:val="nil"/>
              <w:tl2br w:val="nil"/>
              <w:tr2bl w:val="nil"/>
            </w:tcBorders>
            <w:noWrap w:val="0"/>
            <w:vAlign w:val="top"/>
          </w:tcPr>
          <w:p w14:paraId="54532E8D">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2.167115</w:t>
            </w:r>
          </w:p>
        </w:tc>
        <w:tc>
          <w:tcPr>
            <w:tcW w:w="1453" w:type="dxa"/>
            <w:tcBorders>
              <w:top w:val="single" w:color="auto" w:sz="4" w:space="0"/>
              <w:left w:val="nil"/>
              <w:bottom w:val="nil"/>
              <w:right w:val="nil"/>
              <w:tl2br w:val="nil"/>
              <w:tr2bl w:val="nil"/>
            </w:tcBorders>
            <w:noWrap w:val="0"/>
            <w:vAlign w:val="top"/>
          </w:tcPr>
          <w:p w14:paraId="3A561B5A">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1.049298</w:t>
            </w:r>
          </w:p>
        </w:tc>
        <w:tc>
          <w:tcPr>
            <w:tcW w:w="1453" w:type="dxa"/>
            <w:tcBorders>
              <w:top w:val="single" w:color="auto" w:sz="4" w:space="0"/>
              <w:left w:val="nil"/>
              <w:bottom w:val="nil"/>
              <w:right w:val="nil"/>
              <w:tl2br w:val="nil"/>
              <w:tr2bl w:val="nil"/>
            </w:tcBorders>
            <w:noWrap w:val="0"/>
            <w:vAlign w:val="top"/>
          </w:tcPr>
          <w:p w14:paraId="473CB402">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1.94591</w:t>
            </w:r>
          </w:p>
        </w:tc>
        <w:tc>
          <w:tcPr>
            <w:tcW w:w="1453" w:type="dxa"/>
            <w:tcBorders>
              <w:top w:val="single" w:color="auto" w:sz="4" w:space="0"/>
              <w:left w:val="nil"/>
              <w:bottom w:val="nil"/>
              <w:right w:val="nil"/>
              <w:tl2br w:val="nil"/>
              <w:tr2bl w:val="nil"/>
            </w:tcBorders>
            <w:noWrap w:val="0"/>
            <w:vAlign w:val="top"/>
          </w:tcPr>
          <w:p w14:paraId="656CC297">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1.098612</w:t>
            </w:r>
          </w:p>
        </w:tc>
        <w:tc>
          <w:tcPr>
            <w:tcW w:w="1453" w:type="dxa"/>
            <w:tcBorders>
              <w:top w:val="single" w:color="auto" w:sz="4" w:space="0"/>
              <w:left w:val="nil"/>
              <w:bottom w:val="nil"/>
              <w:right w:val="nil"/>
              <w:tl2br w:val="nil"/>
              <w:tr2bl w:val="nil"/>
            </w:tcBorders>
            <w:noWrap w:val="0"/>
            <w:vAlign w:val="top"/>
          </w:tcPr>
          <w:p w14:paraId="36496F8E">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7.568896</w:t>
            </w:r>
          </w:p>
        </w:tc>
      </w:tr>
      <w:tr w14:paraId="015E5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 w:hRule="atLeast"/>
        </w:trPr>
        <w:tc>
          <w:tcPr>
            <w:tcW w:w="1453" w:type="dxa"/>
            <w:tcBorders>
              <w:top w:val="nil"/>
              <w:left w:val="nil"/>
              <w:bottom w:val="nil"/>
              <w:right w:val="nil"/>
              <w:tl2br w:val="nil"/>
              <w:tr2bl w:val="nil"/>
            </w:tcBorders>
            <w:noWrap w:val="0"/>
            <w:vAlign w:val="top"/>
          </w:tcPr>
          <w:p w14:paraId="4AC403CB">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mean_incre</w:t>
            </w:r>
          </w:p>
        </w:tc>
        <w:tc>
          <w:tcPr>
            <w:tcW w:w="1453" w:type="dxa"/>
            <w:tcBorders>
              <w:top w:val="nil"/>
              <w:left w:val="nil"/>
              <w:bottom w:val="nil"/>
              <w:right w:val="nil"/>
              <w:tl2br w:val="nil"/>
              <w:tr2bl w:val="nil"/>
            </w:tcBorders>
            <w:noWrap w:val="0"/>
            <w:vAlign w:val="top"/>
          </w:tcPr>
          <w:p w14:paraId="40EA1155">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.1146705</w:t>
            </w:r>
          </w:p>
        </w:tc>
        <w:tc>
          <w:tcPr>
            <w:tcW w:w="1453" w:type="dxa"/>
            <w:tcBorders>
              <w:top w:val="nil"/>
              <w:left w:val="nil"/>
              <w:bottom w:val="nil"/>
              <w:right w:val="nil"/>
              <w:tl2br w:val="nil"/>
              <w:tr2bl w:val="nil"/>
            </w:tcBorders>
            <w:noWrap w:val="0"/>
            <w:vAlign w:val="top"/>
          </w:tcPr>
          <w:p w14:paraId="45DB8ABB">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.0828464</w:t>
            </w:r>
          </w:p>
        </w:tc>
        <w:tc>
          <w:tcPr>
            <w:tcW w:w="1453" w:type="dxa"/>
            <w:tcBorders>
              <w:top w:val="nil"/>
              <w:left w:val="nil"/>
              <w:bottom w:val="nil"/>
              <w:right w:val="nil"/>
              <w:tl2br w:val="nil"/>
              <w:tr2bl w:val="nil"/>
            </w:tcBorders>
            <w:noWrap w:val="0"/>
            <w:vAlign w:val="top"/>
          </w:tcPr>
          <w:p w14:paraId="2A34FD7E">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.0989401</w:t>
            </w:r>
          </w:p>
        </w:tc>
        <w:tc>
          <w:tcPr>
            <w:tcW w:w="1453" w:type="dxa"/>
            <w:tcBorders>
              <w:top w:val="nil"/>
              <w:left w:val="nil"/>
              <w:bottom w:val="nil"/>
              <w:right w:val="nil"/>
              <w:tl2br w:val="nil"/>
              <w:tr2bl w:val="nil"/>
            </w:tcBorders>
            <w:noWrap w:val="0"/>
            <w:vAlign w:val="top"/>
          </w:tcPr>
          <w:p w14:paraId="2A7CBADA">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w:t>
            </w:r>
          </w:p>
        </w:tc>
        <w:tc>
          <w:tcPr>
            <w:tcW w:w="1453" w:type="dxa"/>
            <w:tcBorders>
              <w:top w:val="nil"/>
              <w:left w:val="nil"/>
              <w:bottom w:val="nil"/>
              <w:right w:val="nil"/>
              <w:tl2br w:val="nil"/>
              <w:tr2bl w:val="nil"/>
            </w:tcBorders>
            <w:noWrap w:val="0"/>
            <w:vAlign w:val="top"/>
          </w:tcPr>
          <w:p w14:paraId="13388A7C">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.7083333</w:t>
            </w:r>
          </w:p>
        </w:tc>
      </w:tr>
      <w:tr w14:paraId="3607E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 w:hRule="atLeast"/>
        </w:trPr>
        <w:tc>
          <w:tcPr>
            <w:tcW w:w="1453" w:type="dxa"/>
            <w:tcBorders>
              <w:top w:val="nil"/>
              <w:left w:val="nil"/>
              <w:bottom w:val="nil"/>
              <w:right w:val="nil"/>
              <w:tl2br w:val="nil"/>
              <w:tr2bl w:val="nil"/>
            </w:tcBorders>
            <w:noWrap w:val="0"/>
            <w:vAlign w:val="top"/>
          </w:tcPr>
          <w:p w14:paraId="15B60B86">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total_pos</w:t>
            </w:r>
          </w:p>
        </w:tc>
        <w:tc>
          <w:tcPr>
            <w:tcW w:w="1453" w:type="dxa"/>
            <w:tcBorders>
              <w:top w:val="nil"/>
              <w:left w:val="nil"/>
              <w:bottom w:val="nil"/>
              <w:right w:val="nil"/>
              <w:tl2br w:val="nil"/>
              <w:tr2bl w:val="nil"/>
            </w:tcBorders>
            <w:noWrap w:val="0"/>
            <w:vAlign w:val="top"/>
          </w:tcPr>
          <w:p w14:paraId="3B514D40">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16.35881</w:t>
            </w:r>
          </w:p>
        </w:tc>
        <w:tc>
          <w:tcPr>
            <w:tcW w:w="1453" w:type="dxa"/>
            <w:tcBorders>
              <w:top w:val="nil"/>
              <w:left w:val="nil"/>
              <w:bottom w:val="nil"/>
              <w:right w:val="nil"/>
              <w:tl2br w:val="nil"/>
              <w:tr2bl w:val="nil"/>
            </w:tcBorders>
            <w:noWrap w:val="0"/>
            <w:vAlign w:val="top"/>
          </w:tcPr>
          <w:p w14:paraId="7224735B">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55.80654</w:t>
            </w:r>
          </w:p>
        </w:tc>
        <w:tc>
          <w:tcPr>
            <w:tcW w:w="1453" w:type="dxa"/>
            <w:tcBorders>
              <w:top w:val="nil"/>
              <w:left w:val="nil"/>
              <w:bottom w:val="nil"/>
              <w:right w:val="nil"/>
              <w:tl2br w:val="nil"/>
              <w:tr2bl w:val="nil"/>
            </w:tcBorders>
            <w:noWrap w:val="0"/>
            <w:vAlign w:val="top"/>
          </w:tcPr>
          <w:p w14:paraId="4D716E7C">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5</w:t>
            </w:r>
          </w:p>
        </w:tc>
        <w:tc>
          <w:tcPr>
            <w:tcW w:w="1453" w:type="dxa"/>
            <w:tcBorders>
              <w:top w:val="nil"/>
              <w:left w:val="nil"/>
              <w:bottom w:val="nil"/>
              <w:right w:val="nil"/>
              <w:tl2br w:val="nil"/>
              <w:tr2bl w:val="nil"/>
            </w:tcBorders>
            <w:noWrap w:val="0"/>
            <w:vAlign w:val="top"/>
          </w:tcPr>
          <w:p w14:paraId="512770BC">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w:t>
            </w:r>
          </w:p>
        </w:tc>
        <w:tc>
          <w:tcPr>
            <w:tcW w:w="1453" w:type="dxa"/>
            <w:tcBorders>
              <w:top w:val="nil"/>
              <w:left w:val="nil"/>
              <w:bottom w:val="nil"/>
              <w:right w:val="nil"/>
              <w:tl2br w:val="nil"/>
              <w:tr2bl w:val="nil"/>
            </w:tcBorders>
            <w:noWrap w:val="0"/>
            <w:vAlign w:val="top"/>
          </w:tcPr>
          <w:p w14:paraId="2426057D">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1953</w:t>
            </w:r>
          </w:p>
        </w:tc>
      </w:tr>
      <w:tr w14:paraId="6D27D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 w:hRule="atLeast"/>
        </w:trPr>
        <w:tc>
          <w:tcPr>
            <w:tcW w:w="1453" w:type="dxa"/>
            <w:tcBorders>
              <w:top w:val="nil"/>
              <w:left w:val="nil"/>
              <w:bottom w:val="nil"/>
              <w:right w:val="nil"/>
              <w:tl2br w:val="nil"/>
              <w:tr2bl w:val="nil"/>
            </w:tcBorders>
            <w:noWrap w:val="0"/>
            <w:vAlign w:val="top"/>
          </w:tcPr>
          <w:p w14:paraId="37D68B6F">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total_neg</w:t>
            </w:r>
          </w:p>
        </w:tc>
        <w:tc>
          <w:tcPr>
            <w:tcW w:w="1453" w:type="dxa"/>
            <w:tcBorders>
              <w:top w:val="nil"/>
              <w:left w:val="nil"/>
              <w:bottom w:val="nil"/>
              <w:right w:val="nil"/>
              <w:tl2br w:val="nil"/>
              <w:tr2bl w:val="nil"/>
            </w:tcBorders>
            <w:noWrap w:val="0"/>
            <w:vAlign w:val="top"/>
          </w:tcPr>
          <w:p w14:paraId="2D6447EA">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2.765824</w:t>
            </w:r>
          </w:p>
        </w:tc>
        <w:tc>
          <w:tcPr>
            <w:tcW w:w="1453" w:type="dxa"/>
            <w:tcBorders>
              <w:top w:val="nil"/>
              <w:left w:val="nil"/>
              <w:bottom w:val="nil"/>
              <w:right w:val="nil"/>
              <w:tl2br w:val="nil"/>
              <w:tr2bl w:val="nil"/>
            </w:tcBorders>
            <w:noWrap w:val="0"/>
            <w:vAlign w:val="top"/>
          </w:tcPr>
          <w:p w14:paraId="169463EB">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9.82197</w:t>
            </w:r>
          </w:p>
        </w:tc>
        <w:tc>
          <w:tcPr>
            <w:tcW w:w="1453" w:type="dxa"/>
            <w:tcBorders>
              <w:top w:val="nil"/>
              <w:left w:val="nil"/>
              <w:bottom w:val="nil"/>
              <w:right w:val="nil"/>
              <w:tl2br w:val="nil"/>
              <w:tr2bl w:val="nil"/>
            </w:tcBorders>
            <w:noWrap w:val="0"/>
            <w:vAlign w:val="top"/>
          </w:tcPr>
          <w:p w14:paraId="1FCB8E1C">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w:t>
            </w:r>
          </w:p>
        </w:tc>
        <w:tc>
          <w:tcPr>
            <w:tcW w:w="1453" w:type="dxa"/>
            <w:tcBorders>
              <w:top w:val="nil"/>
              <w:left w:val="nil"/>
              <w:bottom w:val="nil"/>
              <w:right w:val="nil"/>
              <w:tl2br w:val="nil"/>
              <w:tr2bl w:val="nil"/>
            </w:tcBorders>
            <w:noWrap w:val="0"/>
            <w:vAlign w:val="top"/>
          </w:tcPr>
          <w:p w14:paraId="3EDD6DB8">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w:t>
            </w:r>
          </w:p>
        </w:tc>
        <w:tc>
          <w:tcPr>
            <w:tcW w:w="1453" w:type="dxa"/>
            <w:tcBorders>
              <w:top w:val="nil"/>
              <w:left w:val="nil"/>
              <w:bottom w:val="nil"/>
              <w:right w:val="nil"/>
              <w:tl2br w:val="nil"/>
              <w:tr2bl w:val="nil"/>
            </w:tcBorders>
            <w:noWrap w:val="0"/>
            <w:vAlign w:val="top"/>
          </w:tcPr>
          <w:p w14:paraId="29AAB946">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301</w:t>
            </w:r>
          </w:p>
        </w:tc>
      </w:tr>
      <w:tr w14:paraId="5CE12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 w:hRule="atLeast"/>
        </w:trPr>
        <w:tc>
          <w:tcPr>
            <w:tcW w:w="1453" w:type="dxa"/>
            <w:tcBorders>
              <w:top w:val="nil"/>
              <w:left w:val="nil"/>
              <w:bottom w:val="nil"/>
              <w:right w:val="nil"/>
              <w:tl2br w:val="nil"/>
              <w:tr2bl w:val="nil"/>
            </w:tcBorders>
            <w:noWrap w:val="0"/>
            <w:vAlign w:val="top"/>
          </w:tcPr>
          <w:p w14:paraId="0BC5CB41">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buy_ratio</w:t>
            </w:r>
          </w:p>
        </w:tc>
        <w:tc>
          <w:tcPr>
            <w:tcW w:w="1453" w:type="dxa"/>
            <w:tcBorders>
              <w:top w:val="nil"/>
              <w:left w:val="nil"/>
              <w:bottom w:val="nil"/>
              <w:right w:val="nil"/>
              <w:tl2br w:val="nil"/>
              <w:tr2bl w:val="nil"/>
            </w:tcBorders>
            <w:noWrap w:val="0"/>
            <w:vAlign w:val="top"/>
          </w:tcPr>
          <w:p w14:paraId="0ABAEAA8">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.9204985</w:t>
            </w:r>
          </w:p>
        </w:tc>
        <w:tc>
          <w:tcPr>
            <w:tcW w:w="1453" w:type="dxa"/>
            <w:tcBorders>
              <w:top w:val="nil"/>
              <w:left w:val="nil"/>
              <w:bottom w:val="nil"/>
              <w:right w:val="nil"/>
              <w:tl2br w:val="nil"/>
              <w:tr2bl w:val="nil"/>
            </w:tcBorders>
            <w:noWrap w:val="0"/>
            <w:vAlign w:val="top"/>
          </w:tcPr>
          <w:p w14:paraId="1CCE2D54">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.1768577</w:t>
            </w:r>
          </w:p>
        </w:tc>
        <w:tc>
          <w:tcPr>
            <w:tcW w:w="1453" w:type="dxa"/>
            <w:tcBorders>
              <w:top w:val="nil"/>
              <w:left w:val="nil"/>
              <w:bottom w:val="nil"/>
              <w:right w:val="nil"/>
              <w:tl2br w:val="nil"/>
              <w:tr2bl w:val="nil"/>
            </w:tcBorders>
            <w:noWrap w:val="0"/>
            <w:vAlign w:val="top"/>
          </w:tcPr>
          <w:p w14:paraId="3FD793AD">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w:t>
            </w:r>
          </w:p>
        </w:tc>
        <w:tc>
          <w:tcPr>
            <w:tcW w:w="1453" w:type="dxa"/>
            <w:tcBorders>
              <w:top w:val="nil"/>
              <w:left w:val="nil"/>
              <w:bottom w:val="nil"/>
              <w:right w:val="nil"/>
              <w:tl2br w:val="nil"/>
              <w:tr2bl w:val="nil"/>
            </w:tcBorders>
            <w:noWrap w:val="0"/>
            <w:vAlign w:val="top"/>
          </w:tcPr>
          <w:p w14:paraId="02B87840">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w:t>
            </w:r>
          </w:p>
        </w:tc>
        <w:tc>
          <w:tcPr>
            <w:tcW w:w="1453" w:type="dxa"/>
            <w:tcBorders>
              <w:top w:val="nil"/>
              <w:left w:val="nil"/>
              <w:bottom w:val="nil"/>
              <w:right w:val="nil"/>
              <w:tl2br w:val="nil"/>
              <w:tr2bl w:val="nil"/>
            </w:tcBorders>
            <w:noWrap w:val="0"/>
            <w:vAlign w:val="top"/>
          </w:tcPr>
          <w:p w14:paraId="0FA33683">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w:t>
            </w:r>
          </w:p>
        </w:tc>
      </w:tr>
      <w:tr w14:paraId="40F9D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 w:hRule="atLeast"/>
        </w:trPr>
        <w:tc>
          <w:tcPr>
            <w:tcW w:w="1453" w:type="dxa"/>
            <w:tcBorders>
              <w:top w:val="nil"/>
              <w:left w:val="nil"/>
              <w:bottom w:val="nil"/>
              <w:right w:val="nil"/>
              <w:tl2br w:val="nil"/>
              <w:tr2bl w:val="nil"/>
            </w:tcBorders>
            <w:noWrap w:val="0"/>
            <w:vAlign w:val="top"/>
          </w:tcPr>
          <w:p w14:paraId="726D32EF">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mean_rating</w:t>
            </w:r>
          </w:p>
        </w:tc>
        <w:tc>
          <w:tcPr>
            <w:tcW w:w="1453" w:type="dxa"/>
            <w:tcBorders>
              <w:top w:val="nil"/>
              <w:left w:val="nil"/>
              <w:bottom w:val="nil"/>
              <w:right w:val="nil"/>
              <w:tl2br w:val="nil"/>
              <w:tr2bl w:val="nil"/>
            </w:tcBorders>
            <w:noWrap w:val="0"/>
            <w:vAlign w:val="top"/>
          </w:tcPr>
          <w:p w14:paraId="71405AFA">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4.091707</w:t>
            </w:r>
          </w:p>
        </w:tc>
        <w:tc>
          <w:tcPr>
            <w:tcW w:w="1453" w:type="dxa"/>
            <w:tcBorders>
              <w:top w:val="nil"/>
              <w:left w:val="nil"/>
              <w:bottom w:val="nil"/>
              <w:right w:val="nil"/>
              <w:tl2br w:val="nil"/>
              <w:tr2bl w:val="nil"/>
            </w:tcBorders>
            <w:noWrap w:val="0"/>
            <w:vAlign w:val="top"/>
          </w:tcPr>
          <w:p w14:paraId="39913BB7">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.7694968</w:t>
            </w:r>
          </w:p>
        </w:tc>
        <w:tc>
          <w:tcPr>
            <w:tcW w:w="1453" w:type="dxa"/>
            <w:tcBorders>
              <w:top w:val="nil"/>
              <w:left w:val="nil"/>
              <w:bottom w:val="nil"/>
              <w:right w:val="nil"/>
              <w:tl2br w:val="nil"/>
              <w:tr2bl w:val="nil"/>
            </w:tcBorders>
            <w:noWrap w:val="0"/>
            <w:vAlign w:val="top"/>
          </w:tcPr>
          <w:p w14:paraId="64577236">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4.25</w:t>
            </w:r>
          </w:p>
        </w:tc>
        <w:tc>
          <w:tcPr>
            <w:tcW w:w="1453" w:type="dxa"/>
            <w:tcBorders>
              <w:top w:val="nil"/>
              <w:left w:val="nil"/>
              <w:bottom w:val="nil"/>
              <w:right w:val="nil"/>
              <w:tl2br w:val="nil"/>
              <w:tr2bl w:val="nil"/>
            </w:tcBorders>
            <w:noWrap w:val="0"/>
            <w:vAlign w:val="top"/>
          </w:tcPr>
          <w:p w14:paraId="50A65701">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w:t>
            </w:r>
          </w:p>
        </w:tc>
        <w:tc>
          <w:tcPr>
            <w:tcW w:w="1453" w:type="dxa"/>
            <w:tcBorders>
              <w:top w:val="nil"/>
              <w:left w:val="nil"/>
              <w:bottom w:val="nil"/>
              <w:right w:val="nil"/>
              <w:tl2br w:val="nil"/>
              <w:tr2bl w:val="nil"/>
            </w:tcBorders>
            <w:noWrap w:val="0"/>
            <w:vAlign w:val="top"/>
          </w:tcPr>
          <w:p w14:paraId="2E6A8782">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5</w:t>
            </w:r>
          </w:p>
        </w:tc>
      </w:tr>
      <w:tr w14:paraId="58F83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 w:hRule="atLeast"/>
        </w:trPr>
        <w:tc>
          <w:tcPr>
            <w:tcW w:w="1453" w:type="dxa"/>
            <w:tcBorders>
              <w:top w:val="nil"/>
              <w:left w:val="nil"/>
              <w:bottom w:val="nil"/>
              <w:right w:val="nil"/>
              <w:tl2br w:val="nil"/>
              <w:tr2bl w:val="nil"/>
            </w:tcBorders>
            <w:noWrap w:val="0"/>
            <w:vAlign w:val="top"/>
          </w:tcPr>
          <w:p w14:paraId="30DA6A48">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price</w:t>
            </w:r>
          </w:p>
        </w:tc>
        <w:tc>
          <w:tcPr>
            <w:tcW w:w="1453" w:type="dxa"/>
            <w:tcBorders>
              <w:top w:val="nil"/>
              <w:left w:val="nil"/>
              <w:bottom w:val="nil"/>
              <w:right w:val="nil"/>
              <w:tl2br w:val="nil"/>
              <w:tr2bl w:val="nil"/>
            </w:tcBorders>
            <w:noWrap w:val="0"/>
            <w:vAlign w:val="top"/>
          </w:tcPr>
          <w:p w14:paraId="7DDA2B2B">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24.65097</w:t>
            </w:r>
          </w:p>
        </w:tc>
        <w:tc>
          <w:tcPr>
            <w:tcW w:w="1453" w:type="dxa"/>
            <w:tcBorders>
              <w:top w:val="nil"/>
              <w:left w:val="nil"/>
              <w:bottom w:val="nil"/>
              <w:right w:val="nil"/>
              <w:tl2br w:val="nil"/>
              <w:tr2bl w:val="nil"/>
            </w:tcBorders>
            <w:noWrap w:val="0"/>
            <w:vAlign w:val="top"/>
          </w:tcPr>
          <w:p w14:paraId="0925B4A0">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28.69289</w:t>
            </w:r>
          </w:p>
        </w:tc>
        <w:tc>
          <w:tcPr>
            <w:tcW w:w="1453" w:type="dxa"/>
            <w:tcBorders>
              <w:top w:val="nil"/>
              <w:left w:val="nil"/>
              <w:bottom w:val="nil"/>
              <w:right w:val="nil"/>
              <w:tl2br w:val="nil"/>
              <w:tr2bl w:val="nil"/>
            </w:tcBorders>
            <w:noWrap w:val="0"/>
            <w:vAlign w:val="top"/>
          </w:tcPr>
          <w:p w14:paraId="7A0D83AC">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16.9</w:t>
            </w:r>
          </w:p>
        </w:tc>
        <w:tc>
          <w:tcPr>
            <w:tcW w:w="1453" w:type="dxa"/>
            <w:tcBorders>
              <w:top w:val="nil"/>
              <w:left w:val="nil"/>
              <w:bottom w:val="nil"/>
              <w:right w:val="nil"/>
              <w:tl2br w:val="nil"/>
              <w:tr2bl w:val="nil"/>
            </w:tcBorders>
            <w:noWrap w:val="0"/>
            <w:vAlign w:val="top"/>
          </w:tcPr>
          <w:p w14:paraId="0F784023">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.89</w:t>
            </w:r>
          </w:p>
        </w:tc>
        <w:tc>
          <w:tcPr>
            <w:tcW w:w="1453" w:type="dxa"/>
            <w:tcBorders>
              <w:top w:val="nil"/>
              <w:left w:val="nil"/>
              <w:bottom w:val="nil"/>
              <w:right w:val="nil"/>
              <w:tl2br w:val="nil"/>
              <w:tr2bl w:val="nil"/>
            </w:tcBorders>
            <w:noWrap w:val="0"/>
            <w:vAlign w:val="top"/>
          </w:tcPr>
          <w:p w14:paraId="2AD636A8">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477.06</w:t>
            </w:r>
          </w:p>
        </w:tc>
      </w:tr>
      <w:tr w14:paraId="04E56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trPr>
        <w:tc>
          <w:tcPr>
            <w:tcW w:w="1453" w:type="dxa"/>
            <w:tcBorders>
              <w:top w:val="nil"/>
              <w:left w:val="nil"/>
              <w:bottom w:val="single" w:color="auto" w:sz="4" w:space="0"/>
              <w:right w:val="nil"/>
              <w:tl2br w:val="nil"/>
              <w:tr2bl w:val="nil"/>
            </w:tcBorders>
            <w:noWrap w:val="0"/>
            <w:vAlign w:val="top"/>
          </w:tcPr>
          <w:p w14:paraId="58F72C12">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mean_user_activity</w:t>
            </w:r>
          </w:p>
        </w:tc>
        <w:tc>
          <w:tcPr>
            <w:tcW w:w="1453" w:type="dxa"/>
            <w:tcBorders>
              <w:top w:val="nil"/>
              <w:left w:val="nil"/>
              <w:bottom w:val="single" w:color="auto" w:sz="4" w:space="0"/>
              <w:right w:val="nil"/>
              <w:tl2br w:val="nil"/>
              <w:tr2bl w:val="nil"/>
            </w:tcBorders>
            <w:noWrap w:val="0"/>
            <w:vAlign w:val="top"/>
          </w:tcPr>
          <w:p w14:paraId="5DA64C0E">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1.121262</w:t>
            </w:r>
          </w:p>
        </w:tc>
        <w:tc>
          <w:tcPr>
            <w:tcW w:w="1453" w:type="dxa"/>
            <w:tcBorders>
              <w:top w:val="nil"/>
              <w:left w:val="nil"/>
              <w:bottom w:val="single" w:color="auto" w:sz="4" w:space="0"/>
              <w:right w:val="nil"/>
              <w:tl2br w:val="nil"/>
              <w:tr2bl w:val="nil"/>
            </w:tcBorders>
            <w:noWrap w:val="0"/>
            <w:vAlign w:val="top"/>
          </w:tcPr>
          <w:p w14:paraId="3DB84D9F">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.510395</w:t>
            </w:r>
          </w:p>
        </w:tc>
        <w:tc>
          <w:tcPr>
            <w:tcW w:w="1453" w:type="dxa"/>
            <w:tcBorders>
              <w:top w:val="nil"/>
              <w:left w:val="nil"/>
              <w:bottom w:val="single" w:color="auto" w:sz="4" w:space="0"/>
              <w:right w:val="nil"/>
              <w:tl2br w:val="nil"/>
              <w:tr2bl w:val="nil"/>
            </w:tcBorders>
            <w:noWrap w:val="0"/>
            <w:vAlign w:val="top"/>
          </w:tcPr>
          <w:p w14:paraId="672B10C1">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w:t>
            </w:r>
          </w:p>
        </w:tc>
        <w:tc>
          <w:tcPr>
            <w:tcW w:w="1453" w:type="dxa"/>
            <w:tcBorders>
              <w:top w:val="nil"/>
              <w:left w:val="nil"/>
              <w:bottom w:val="single" w:color="auto" w:sz="4" w:space="0"/>
              <w:right w:val="nil"/>
              <w:tl2br w:val="nil"/>
              <w:tr2bl w:val="nil"/>
            </w:tcBorders>
            <w:noWrap w:val="0"/>
            <w:vAlign w:val="top"/>
          </w:tcPr>
          <w:p w14:paraId="1779D384">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w:t>
            </w:r>
          </w:p>
        </w:tc>
        <w:tc>
          <w:tcPr>
            <w:tcW w:w="1453" w:type="dxa"/>
            <w:tcBorders>
              <w:top w:val="nil"/>
              <w:left w:val="nil"/>
              <w:bottom w:val="single" w:color="auto" w:sz="4" w:space="0"/>
              <w:right w:val="nil"/>
              <w:tl2br w:val="nil"/>
              <w:tr2bl w:val="nil"/>
            </w:tcBorders>
            <w:noWrap w:val="0"/>
            <w:vAlign w:val="top"/>
          </w:tcPr>
          <w:p w14:paraId="5C2E6FB5">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19</w:t>
            </w:r>
          </w:p>
        </w:tc>
      </w:tr>
      <w:tr w14:paraId="278A0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453" w:type="dxa"/>
            <w:tcBorders>
              <w:top w:val="nil"/>
              <w:left w:val="nil"/>
              <w:bottom w:val="single" w:color="auto" w:sz="4" w:space="0"/>
              <w:right w:val="nil"/>
              <w:tl2br w:val="nil"/>
              <w:tr2bl w:val="nil"/>
            </w:tcBorders>
            <w:noWrap w:val="0"/>
            <w:vAlign w:val="top"/>
          </w:tcPr>
          <w:p w14:paraId="564450CD">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i/>
                <w:kern w:val="2"/>
                <w:sz w:val="24"/>
                <w:szCs w:val="24"/>
              </w:rPr>
              <w:t>N</w:t>
            </w:r>
          </w:p>
        </w:tc>
        <w:tc>
          <w:tcPr>
            <w:tcW w:w="1453" w:type="dxa"/>
            <w:tcBorders>
              <w:top w:val="nil"/>
              <w:left w:val="nil"/>
              <w:bottom w:val="single" w:color="auto" w:sz="4" w:space="0"/>
              <w:right w:val="nil"/>
              <w:tl2br w:val="nil"/>
              <w:tr2bl w:val="nil"/>
            </w:tcBorders>
            <w:noWrap w:val="0"/>
            <w:vAlign w:val="top"/>
          </w:tcPr>
          <w:p w14:paraId="024676D4">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8152</w:t>
            </w:r>
          </w:p>
        </w:tc>
        <w:tc>
          <w:tcPr>
            <w:tcW w:w="1453" w:type="dxa"/>
            <w:tcBorders>
              <w:top w:val="nil"/>
              <w:left w:val="nil"/>
              <w:bottom w:val="single" w:color="auto" w:sz="4" w:space="0"/>
              <w:right w:val="nil"/>
              <w:tl2br w:val="nil"/>
              <w:tr2bl w:val="nil"/>
            </w:tcBorders>
            <w:noWrap w:val="0"/>
            <w:vAlign w:val="top"/>
          </w:tcPr>
          <w:p w14:paraId="15651150">
            <w:pPr>
              <w:spacing w:beforeLines="0" w:after="0" w:afterLines="0"/>
              <w:jc w:val="center"/>
              <w:rPr>
                <w:rFonts w:hint="default" w:ascii="Times New Roman" w:hAnsi="Times New Roman" w:eastAsia="宋体" w:cs="Times New Roman"/>
                <w:kern w:val="2"/>
                <w:sz w:val="24"/>
                <w:szCs w:val="24"/>
              </w:rPr>
            </w:pPr>
          </w:p>
        </w:tc>
        <w:tc>
          <w:tcPr>
            <w:tcW w:w="1453" w:type="dxa"/>
            <w:tcBorders>
              <w:top w:val="nil"/>
              <w:left w:val="nil"/>
              <w:bottom w:val="single" w:color="auto" w:sz="4" w:space="0"/>
              <w:right w:val="nil"/>
              <w:tl2br w:val="nil"/>
              <w:tr2bl w:val="nil"/>
            </w:tcBorders>
            <w:noWrap w:val="0"/>
            <w:vAlign w:val="top"/>
          </w:tcPr>
          <w:p w14:paraId="5FC86EB1">
            <w:pPr>
              <w:spacing w:beforeLines="0" w:after="0" w:afterLines="0"/>
              <w:jc w:val="center"/>
              <w:rPr>
                <w:rFonts w:hint="default" w:ascii="Times New Roman" w:hAnsi="Times New Roman" w:eastAsia="宋体" w:cs="Times New Roman"/>
                <w:kern w:val="2"/>
                <w:sz w:val="24"/>
                <w:szCs w:val="24"/>
              </w:rPr>
            </w:pPr>
          </w:p>
        </w:tc>
        <w:tc>
          <w:tcPr>
            <w:tcW w:w="1453" w:type="dxa"/>
            <w:tcBorders>
              <w:top w:val="nil"/>
              <w:left w:val="nil"/>
              <w:bottom w:val="single" w:color="auto" w:sz="4" w:space="0"/>
              <w:right w:val="nil"/>
              <w:tl2br w:val="nil"/>
              <w:tr2bl w:val="nil"/>
            </w:tcBorders>
            <w:noWrap w:val="0"/>
            <w:vAlign w:val="top"/>
          </w:tcPr>
          <w:p w14:paraId="1F61B600">
            <w:pPr>
              <w:spacing w:beforeLines="0" w:after="0" w:afterLines="0"/>
              <w:jc w:val="center"/>
              <w:rPr>
                <w:rFonts w:hint="default" w:ascii="Times New Roman" w:hAnsi="Times New Roman" w:eastAsia="宋体" w:cs="Times New Roman"/>
                <w:kern w:val="2"/>
                <w:sz w:val="24"/>
                <w:szCs w:val="24"/>
              </w:rPr>
            </w:pPr>
          </w:p>
        </w:tc>
        <w:tc>
          <w:tcPr>
            <w:tcW w:w="1453" w:type="dxa"/>
            <w:tcBorders>
              <w:top w:val="nil"/>
              <w:left w:val="nil"/>
              <w:bottom w:val="single" w:color="auto" w:sz="4" w:space="0"/>
              <w:right w:val="nil"/>
              <w:tl2br w:val="nil"/>
              <w:tr2bl w:val="nil"/>
            </w:tcBorders>
            <w:noWrap w:val="0"/>
            <w:vAlign w:val="top"/>
          </w:tcPr>
          <w:p w14:paraId="5FAC9CBD">
            <w:pPr>
              <w:spacing w:beforeLines="0" w:after="0" w:afterLines="0"/>
              <w:jc w:val="center"/>
              <w:rPr>
                <w:rFonts w:hint="default" w:ascii="Times New Roman" w:hAnsi="Times New Roman" w:eastAsia="宋体" w:cs="Times New Roman"/>
                <w:kern w:val="2"/>
                <w:sz w:val="24"/>
                <w:szCs w:val="24"/>
              </w:rPr>
            </w:pPr>
          </w:p>
        </w:tc>
      </w:tr>
    </w:tbl>
    <w:p w14:paraId="01BE9573">
      <w:pPr>
        <w:pStyle w:val="5"/>
        <w:jc w:val="center"/>
        <w:rPr>
          <w:rFonts w:hint="eastAsia" w:ascii="宋体" w:hAnsi="宋体" w:eastAsia="宋体" w:cs="宋体"/>
          <w:b/>
          <w:bCs/>
          <w:i w:val="0"/>
          <w:iCs/>
          <w:sz w:val="13"/>
          <w:szCs w:val="13"/>
        </w:rPr>
      </w:pPr>
    </w:p>
    <w:p w14:paraId="0FC9B61B">
      <w:pPr>
        <w:pStyle w:val="5"/>
        <w:jc w:val="center"/>
        <w:rPr>
          <w:rFonts w:hint="eastAsia" w:ascii="宋体" w:hAnsi="宋体" w:eastAsia="宋体" w:cs="宋体"/>
          <w:b/>
          <w:bCs/>
          <w:i w:val="0"/>
          <w:iCs/>
          <w:sz w:val="15"/>
          <w:szCs w:val="15"/>
          <w:lang w:eastAsia="zh-CN"/>
        </w:rPr>
      </w:pPr>
      <w:r>
        <w:rPr>
          <w:rFonts w:hint="eastAsia" w:ascii="宋体" w:hAnsi="宋体" w:eastAsia="宋体" w:cs="宋体"/>
          <w:b/>
          <w:bCs/>
          <w:i w:val="0"/>
          <w:iCs/>
          <w:sz w:val="15"/>
          <w:szCs w:val="15"/>
        </w:rPr>
        <w:t xml:space="preserve">表 </w:t>
      </w:r>
      <w:r>
        <w:rPr>
          <w:rFonts w:hint="eastAsia" w:ascii="宋体" w:hAnsi="宋体" w:eastAsia="宋体" w:cs="宋体"/>
          <w:b/>
          <w:bCs/>
          <w:i w:val="0"/>
          <w:iCs/>
          <w:sz w:val="15"/>
          <w:szCs w:val="15"/>
        </w:rPr>
        <w:fldChar w:fldCharType="begin"/>
      </w:r>
      <w:r>
        <w:rPr>
          <w:rFonts w:hint="eastAsia" w:ascii="宋体" w:hAnsi="宋体" w:eastAsia="宋体" w:cs="宋体"/>
          <w:b/>
          <w:bCs/>
          <w:i w:val="0"/>
          <w:iCs/>
          <w:sz w:val="15"/>
          <w:szCs w:val="15"/>
        </w:rPr>
        <w:instrText xml:space="preserve"> SEQ 表 \* ARABIC </w:instrText>
      </w:r>
      <w:r>
        <w:rPr>
          <w:rFonts w:hint="eastAsia" w:ascii="宋体" w:hAnsi="宋体" w:eastAsia="宋体" w:cs="宋体"/>
          <w:b/>
          <w:bCs/>
          <w:i w:val="0"/>
          <w:iCs/>
          <w:sz w:val="15"/>
          <w:szCs w:val="15"/>
        </w:rPr>
        <w:fldChar w:fldCharType="separate"/>
      </w:r>
      <w:r>
        <w:rPr>
          <w:rFonts w:hint="eastAsia" w:ascii="宋体" w:hAnsi="宋体" w:eastAsia="宋体" w:cs="宋体"/>
          <w:b/>
          <w:bCs/>
          <w:i w:val="0"/>
          <w:iCs/>
          <w:sz w:val="15"/>
          <w:szCs w:val="15"/>
        </w:rPr>
        <w:t>2</w:t>
      </w:r>
      <w:r>
        <w:rPr>
          <w:rFonts w:hint="eastAsia" w:ascii="宋体" w:hAnsi="宋体" w:eastAsia="宋体" w:cs="宋体"/>
          <w:b/>
          <w:bCs/>
          <w:i w:val="0"/>
          <w:iCs/>
          <w:sz w:val="15"/>
          <w:szCs w:val="15"/>
        </w:rPr>
        <w:fldChar w:fldCharType="end"/>
      </w:r>
      <w:r>
        <w:rPr>
          <w:rFonts w:hint="eastAsia" w:ascii="宋体" w:hAnsi="宋体" w:eastAsia="宋体" w:cs="宋体"/>
          <w:b/>
          <w:bCs/>
          <w:i w:val="0"/>
          <w:iCs/>
          <w:sz w:val="15"/>
          <w:szCs w:val="15"/>
          <w:lang w:eastAsia="zh-CN"/>
        </w:rPr>
        <w:t xml:space="preserve"> 描述性统计</w:t>
      </w:r>
    </w:p>
    <w:p w14:paraId="65B4D388">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从表 2 可以看出，样本共包含 8152 个商品。商品销量对数 log_sales 的均值为 2.1671，标准差为 1.0493，说明不同商品之间销量差异较为明显。核心解释变量 mean_incre 的均值为 0.1147，中位数为 0.0989，说明样本商品评论中的增量信息密度整体并不高，大量评论仍可能存在宽泛、重复或低信息量表达。</w:t>
      </w:r>
    </w:p>
    <w:p w14:paraId="32E34172">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情感变量方面，total_pos 的均值为 16.3588，明显高于 total_neg 的均值 2.7658，说明美妆评论中正向增量信息数量明显多于负向增量信息。这与电商平台评论生态中正向评价更常见的现象基本一致。真实购买占比 buy_ratio 的均值为 0.9205，中位数为 1，说明多数商品评论具有较高比例的真实购买标识。价格变量 price 的均值为 24.6510，但最大值达到 477.0600，说明商品价格差异较大，因此有必要进一步考察价格异质性。</w:t>
      </w:r>
    </w:p>
    <w:p w14:paraId="65266566">
      <w:pPr>
        <w:pStyle w:val="6"/>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4</w:t>
      </w:r>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增量信息密度对销量的影响</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11"/>
        <w:gridCol w:w="1728"/>
      </w:tblGrid>
      <w:tr w14:paraId="4E35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single" w:color="auto" w:sz="6" w:space="0"/>
              <w:left w:val="nil"/>
              <w:bottom w:val="nil"/>
              <w:right w:val="nil"/>
              <w:tl2br w:val="nil"/>
              <w:tr2bl w:val="nil"/>
            </w:tcBorders>
            <w:noWrap w:val="0"/>
            <w:vAlign w:val="top"/>
          </w:tcPr>
          <w:p w14:paraId="5EC6540F">
            <w:pPr>
              <w:spacing w:beforeLines="0" w:after="0" w:afterLines="0"/>
              <w:jc w:val="left"/>
              <w:rPr>
                <w:rFonts w:hint="default" w:ascii="Times New Roman" w:hAnsi="Times New Roman" w:eastAsia="宋体" w:cs="Times New Roman"/>
                <w:kern w:val="2"/>
                <w:sz w:val="24"/>
                <w:szCs w:val="24"/>
              </w:rPr>
            </w:pPr>
          </w:p>
        </w:tc>
        <w:tc>
          <w:tcPr>
            <w:tcW w:w="1728" w:type="dxa"/>
            <w:tcBorders>
              <w:top w:val="single" w:color="auto" w:sz="6" w:space="0"/>
              <w:left w:val="nil"/>
              <w:bottom w:val="nil"/>
              <w:right w:val="nil"/>
              <w:tl2br w:val="nil"/>
              <w:tr2bl w:val="nil"/>
            </w:tcBorders>
            <w:noWrap w:val="0"/>
            <w:vAlign w:val="top"/>
          </w:tcPr>
          <w:p w14:paraId="1DDB1D4F">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w:t>
            </w:r>
          </w:p>
        </w:tc>
      </w:tr>
      <w:tr w14:paraId="25F76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single" w:color="auto" w:sz="6" w:space="0"/>
              <w:right w:val="nil"/>
              <w:tl2br w:val="nil"/>
              <w:tr2bl w:val="nil"/>
            </w:tcBorders>
            <w:noWrap w:val="0"/>
            <w:vAlign w:val="top"/>
          </w:tcPr>
          <w:p w14:paraId="64E6DC15">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VARIABLES</w:t>
            </w:r>
          </w:p>
        </w:tc>
        <w:tc>
          <w:tcPr>
            <w:tcW w:w="1728" w:type="dxa"/>
            <w:tcBorders>
              <w:top w:val="nil"/>
              <w:left w:val="nil"/>
              <w:bottom w:val="single" w:color="auto" w:sz="6" w:space="0"/>
              <w:right w:val="nil"/>
              <w:tl2br w:val="nil"/>
              <w:tr2bl w:val="nil"/>
            </w:tcBorders>
            <w:noWrap w:val="0"/>
            <w:vAlign w:val="top"/>
          </w:tcPr>
          <w:p w14:paraId="5BC2B6FC">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log_sales</w:t>
            </w:r>
          </w:p>
        </w:tc>
      </w:tr>
      <w:tr w14:paraId="2340D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35C20079">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3A032970">
            <w:pPr>
              <w:spacing w:beforeLines="0" w:after="0" w:afterLines="0"/>
              <w:jc w:val="center"/>
              <w:rPr>
                <w:rFonts w:hint="default" w:ascii="Times New Roman" w:hAnsi="Times New Roman" w:eastAsia="宋体" w:cs="Times New Roman"/>
                <w:kern w:val="2"/>
                <w:sz w:val="24"/>
                <w:szCs w:val="24"/>
              </w:rPr>
            </w:pPr>
          </w:p>
        </w:tc>
      </w:tr>
      <w:tr w14:paraId="2EFD6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0B922A88">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mean_incre</w:t>
            </w:r>
          </w:p>
        </w:tc>
        <w:tc>
          <w:tcPr>
            <w:tcW w:w="1728" w:type="dxa"/>
            <w:tcBorders>
              <w:top w:val="nil"/>
              <w:left w:val="nil"/>
              <w:bottom w:val="nil"/>
              <w:right w:val="nil"/>
              <w:tl2br w:val="nil"/>
              <w:tr2bl w:val="nil"/>
            </w:tcBorders>
            <w:noWrap w:val="0"/>
            <w:vAlign w:val="top"/>
          </w:tcPr>
          <w:p w14:paraId="1E2E6511">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6.2817***</w:t>
            </w:r>
          </w:p>
        </w:tc>
      </w:tr>
      <w:tr w14:paraId="216D8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1575A0A5">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47CECC0F">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(0.4595)</w:t>
            </w:r>
          </w:p>
        </w:tc>
      </w:tr>
      <w:tr w14:paraId="1472B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1011FB03">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mean_incre_sq</w:t>
            </w:r>
          </w:p>
        </w:tc>
        <w:tc>
          <w:tcPr>
            <w:tcW w:w="1728" w:type="dxa"/>
            <w:tcBorders>
              <w:top w:val="nil"/>
              <w:left w:val="nil"/>
              <w:bottom w:val="nil"/>
              <w:right w:val="nil"/>
              <w:tl2br w:val="nil"/>
              <w:tr2bl w:val="nil"/>
            </w:tcBorders>
            <w:noWrap w:val="0"/>
            <w:vAlign w:val="top"/>
          </w:tcPr>
          <w:p w14:paraId="202A795D">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-17.7541***</w:t>
            </w:r>
          </w:p>
        </w:tc>
      </w:tr>
      <w:tr w14:paraId="15649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4877A63B">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52F1892A">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(1.3971)</w:t>
            </w:r>
          </w:p>
        </w:tc>
      </w:tr>
      <w:tr w14:paraId="753C2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7ADF5979">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mean_rating</w:t>
            </w:r>
          </w:p>
        </w:tc>
        <w:tc>
          <w:tcPr>
            <w:tcW w:w="1728" w:type="dxa"/>
            <w:tcBorders>
              <w:top w:val="nil"/>
              <w:left w:val="nil"/>
              <w:bottom w:val="nil"/>
              <w:right w:val="nil"/>
              <w:tl2br w:val="nil"/>
              <w:tr2bl w:val="nil"/>
            </w:tcBorders>
            <w:noWrap w:val="0"/>
            <w:vAlign w:val="top"/>
          </w:tcPr>
          <w:p w14:paraId="7029D8F9">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-0.0044</w:t>
            </w:r>
          </w:p>
        </w:tc>
      </w:tr>
      <w:tr w14:paraId="1E730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367444B3">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4F5CB157">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(0.0132)</w:t>
            </w:r>
          </w:p>
        </w:tc>
      </w:tr>
      <w:tr w14:paraId="4A576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0334E19C">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price</w:t>
            </w:r>
          </w:p>
        </w:tc>
        <w:tc>
          <w:tcPr>
            <w:tcW w:w="1728" w:type="dxa"/>
            <w:tcBorders>
              <w:top w:val="nil"/>
              <w:left w:val="nil"/>
              <w:bottom w:val="nil"/>
              <w:right w:val="nil"/>
              <w:tl2br w:val="nil"/>
              <w:tr2bl w:val="nil"/>
            </w:tcBorders>
            <w:noWrap w:val="0"/>
            <w:vAlign w:val="top"/>
          </w:tcPr>
          <w:p w14:paraId="08701BE0">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-0.0016***</w:t>
            </w:r>
          </w:p>
        </w:tc>
      </w:tr>
      <w:tr w14:paraId="2E7A5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27F82E76">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3D2C6E67">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(0.0004)</w:t>
            </w:r>
          </w:p>
        </w:tc>
      </w:tr>
      <w:tr w14:paraId="13AE3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27E4E5B0">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mean_user_activity</w:t>
            </w:r>
          </w:p>
        </w:tc>
        <w:tc>
          <w:tcPr>
            <w:tcW w:w="1728" w:type="dxa"/>
            <w:tcBorders>
              <w:top w:val="nil"/>
              <w:left w:val="nil"/>
              <w:bottom w:val="nil"/>
              <w:right w:val="nil"/>
              <w:tl2br w:val="nil"/>
              <w:tr2bl w:val="nil"/>
            </w:tcBorders>
            <w:noWrap w:val="0"/>
            <w:vAlign w:val="top"/>
          </w:tcPr>
          <w:p w14:paraId="2079ABCA">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-0.0169</w:t>
            </w:r>
          </w:p>
        </w:tc>
      </w:tr>
      <w:tr w14:paraId="2D5AB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102B6A44">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6B2B3741">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(0.0135)</w:t>
            </w:r>
          </w:p>
        </w:tc>
      </w:tr>
      <w:tr w14:paraId="10A71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0949241A">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Constant</w:t>
            </w:r>
          </w:p>
        </w:tc>
        <w:tc>
          <w:tcPr>
            <w:tcW w:w="1728" w:type="dxa"/>
            <w:tcBorders>
              <w:top w:val="nil"/>
              <w:left w:val="nil"/>
              <w:bottom w:val="nil"/>
              <w:right w:val="nil"/>
              <w:tl2br w:val="nil"/>
              <w:tr2bl w:val="nil"/>
            </w:tcBorders>
            <w:noWrap w:val="0"/>
            <w:vAlign w:val="top"/>
          </w:tcPr>
          <w:p w14:paraId="6AC6C1FE">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1.8793***</w:t>
            </w:r>
          </w:p>
        </w:tc>
      </w:tr>
      <w:tr w14:paraId="3649B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0B00F5A8">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1E3A237D">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(0.0579)</w:t>
            </w:r>
          </w:p>
        </w:tc>
      </w:tr>
      <w:tr w14:paraId="47D54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5498D6C1">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5DF45060">
            <w:pPr>
              <w:spacing w:beforeLines="0" w:after="0" w:afterLines="0"/>
              <w:jc w:val="center"/>
              <w:rPr>
                <w:rFonts w:hint="default" w:ascii="Times New Roman" w:hAnsi="Times New Roman" w:eastAsia="宋体" w:cs="Times New Roman"/>
                <w:kern w:val="2"/>
                <w:sz w:val="24"/>
                <w:szCs w:val="24"/>
              </w:rPr>
            </w:pPr>
          </w:p>
        </w:tc>
      </w:tr>
      <w:tr w14:paraId="341EC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5E695C66">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Observations</w:t>
            </w:r>
          </w:p>
        </w:tc>
        <w:tc>
          <w:tcPr>
            <w:tcW w:w="1728" w:type="dxa"/>
            <w:tcBorders>
              <w:top w:val="nil"/>
              <w:left w:val="nil"/>
              <w:bottom w:val="nil"/>
              <w:right w:val="nil"/>
              <w:tl2br w:val="nil"/>
              <w:tr2bl w:val="nil"/>
            </w:tcBorders>
            <w:noWrap w:val="0"/>
            <w:vAlign w:val="top"/>
          </w:tcPr>
          <w:p w14:paraId="2C4595E0">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8,152</w:t>
            </w:r>
          </w:p>
        </w:tc>
      </w:tr>
      <w:tr w14:paraId="709C916E">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single" w:color="auto" w:sz="6" w:space="0"/>
              <w:right w:val="nil"/>
              <w:tl2br w:val="nil"/>
              <w:tr2bl w:val="nil"/>
            </w:tcBorders>
            <w:noWrap w:val="0"/>
            <w:vAlign w:val="top"/>
          </w:tcPr>
          <w:p w14:paraId="6B3B65F2">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R-squared</w:t>
            </w:r>
          </w:p>
        </w:tc>
        <w:tc>
          <w:tcPr>
            <w:tcW w:w="1728" w:type="dxa"/>
            <w:tcBorders>
              <w:top w:val="nil"/>
              <w:left w:val="nil"/>
              <w:bottom w:val="single" w:color="auto" w:sz="6" w:space="0"/>
              <w:right w:val="nil"/>
              <w:tl2br w:val="nil"/>
              <w:tr2bl w:val="nil"/>
            </w:tcBorders>
            <w:noWrap w:val="0"/>
            <w:vAlign w:val="top"/>
          </w:tcPr>
          <w:p w14:paraId="62BD7C86">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0.0592</w:t>
            </w:r>
          </w:p>
        </w:tc>
      </w:tr>
    </w:tbl>
    <w:p w14:paraId="18C896A4">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Robust standard errors in parentheses</w:t>
      </w:r>
    </w:p>
    <w:p w14:paraId="022B66F7">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p&lt;0.01, ** p&lt;0.05, * p&lt;0.1</w:t>
      </w:r>
    </w:p>
    <w:p w14:paraId="3C44EA1D">
      <w:pPr>
        <w:pStyle w:val="5"/>
        <w:jc w:val="center"/>
        <w:rPr>
          <w:rFonts w:hint="eastAsia" w:ascii="宋体" w:hAnsi="宋体" w:eastAsia="宋体" w:cs="宋体"/>
          <w:b/>
          <w:bCs/>
          <w:i w:val="0"/>
          <w:iCs/>
          <w:sz w:val="21"/>
          <w:szCs w:val="21"/>
        </w:rPr>
      </w:pPr>
    </w:p>
    <w:p w14:paraId="100ACC73">
      <w:pPr>
        <w:pStyle w:val="5"/>
        <w:jc w:val="center"/>
        <w:rPr>
          <w:rFonts w:hint="eastAsia" w:ascii="宋体" w:hAnsi="宋体" w:eastAsia="宋体" w:cs="宋体"/>
          <w:b/>
          <w:bCs/>
          <w:i w:val="0"/>
          <w:iCs/>
          <w:sz w:val="15"/>
          <w:szCs w:val="15"/>
          <w:lang w:eastAsia="zh-CN"/>
        </w:rPr>
      </w:pPr>
      <w:r>
        <w:rPr>
          <w:rFonts w:hint="eastAsia" w:ascii="宋体" w:hAnsi="宋体" w:eastAsia="宋体" w:cs="宋体"/>
          <w:b/>
          <w:bCs/>
          <w:i w:val="0"/>
          <w:iCs/>
          <w:sz w:val="15"/>
          <w:szCs w:val="15"/>
        </w:rPr>
        <w:t xml:space="preserve">表 </w:t>
      </w:r>
      <w:r>
        <w:rPr>
          <w:rFonts w:hint="eastAsia" w:ascii="宋体" w:hAnsi="宋体" w:eastAsia="宋体" w:cs="宋体"/>
          <w:b/>
          <w:bCs/>
          <w:i w:val="0"/>
          <w:iCs/>
          <w:sz w:val="15"/>
          <w:szCs w:val="15"/>
        </w:rPr>
        <w:fldChar w:fldCharType="begin"/>
      </w:r>
      <w:r>
        <w:rPr>
          <w:rFonts w:hint="eastAsia" w:ascii="宋体" w:hAnsi="宋体" w:eastAsia="宋体" w:cs="宋体"/>
          <w:b/>
          <w:bCs/>
          <w:i w:val="0"/>
          <w:iCs/>
          <w:sz w:val="15"/>
          <w:szCs w:val="15"/>
        </w:rPr>
        <w:instrText xml:space="preserve"> SEQ 表 \* ARABIC </w:instrText>
      </w:r>
      <w:r>
        <w:rPr>
          <w:rFonts w:hint="eastAsia" w:ascii="宋体" w:hAnsi="宋体" w:eastAsia="宋体" w:cs="宋体"/>
          <w:b/>
          <w:bCs/>
          <w:i w:val="0"/>
          <w:iCs/>
          <w:sz w:val="15"/>
          <w:szCs w:val="15"/>
        </w:rPr>
        <w:fldChar w:fldCharType="separate"/>
      </w:r>
      <w:r>
        <w:rPr>
          <w:rFonts w:hint="eastAsia" w:ascii="宋体" w:hAnsi="宋体" w:eastAsia="宋体" w:cs="宋体"/>
          <w:b/>
          <w:bCs/>
          <w:i w:val="0"/>
          <w:iCs/>
          <w:sz w:val="15"/>
          <w:szCs w:val="15"/>
        </w:rPr>
        <w:t>3</w:t>
      </w:r>
      <w:r>
        <w:rPr>
          <w:rFonts w:hint="eastAsia" w:ascii="宋体" w:hAnsi="宋体" w:eastAsia="宋体" w:cs="宋体"/>
          <w:b/>
          <w:bCs/>
          <w:i w:val="0"/>
          <w:iCs/>
          <w:sz w:val="15"/>
          <w:szCs w:val="15"/>
        </w:rPr>
        <w:fldChar w:fldCharType="end"/>
      </w:r>
      <w:r>
        <w:rPr>
          <w:rFonts w:hint="eastAsia" w:ascii="宋体" w:hAnsi="宋体" w:eastAsia="宋体" w:cs="宋体"/>
          <w:b/>
          <w:bCs/>
          <w:i w:val="0"/>
          <w:iCs/>
          <w:sz w:val="15"/>
          <w:szCs w:val="15"/>
          <w:lang w:eastAsia="zh-CN"/>
        </w:rPr>
        <w:t xml:space="preserve"> 增量信息密度对销量的影响：二次项模型</w:t>
      </w:r>
    </w:p>
    <w:p w14:paraId="37C15F3C">
      <w:pPr>
        <w:spacing w:beforeLines="0" w:after="0" w:afterLines="0"/>
        <w:jc w:val="center"/>
        <w:rPr>
          <w:rFonts w:hint="default" w:ascii="Times New Roman" w:hAnsi="Times New Roman" w:eastAsia="宋体" w:cs="Times New Roman"/>
          <w:kern w:val="2"/>
          <w:sz w:val="24"/>
          <w:szCs w:val="24"/>
        </w:rPr>
      </w:pPr>
    </w:p>
    <w:p w14:paraId="77FF8D49">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hint="eastAsia" w:ascii="宋体" w:hAnsi="宋体" w:eastAsia="宋体" w:cs="宋体"/>
          <w:sz w:val="21"/>
        </w:rPr>
      </w:pPr>
      <w:r>
        <w:rPr>
          <w:rFonts w:hint="eastAsia" w:ascii="宋体" w:hAnsi="宋体" w:eastAsia="宋体" w:cs="宋体"/>
          <w:sz w:val="21"/>
        </w:rPr>
        <w:t xml:space="preserve">从表 </w:t>
      </w:r>
      <w:r>
        <w:rPr>
          <w:rFonts w:hint="eastAsia" w:ascii="宋体" w:hAnsi="宋体" w:eastAsia="宋体" w:cs="宋体"/>
          <w:sz w:val="21"/>
          <w:lang w:val="en-US" w:eastAsia="zh-CN"/>
        </w:rPr>
        <w:t>3</w:t>
      </w:r>
      <w:r>
        <w:rPr>
          <w:rFonts w:hint="eastAsia" w:ascii="宋体" w:hAnsi="宋体" w:eastAsia="宋体" w:cs="宋体"/>
          <w:sz w:val="21"/>
        </w:rPr>
        <w:t xml:space="preserve"> 可以看出，在加入平方项后，mean_incre 的系数为 6.2817，且在 1% 水平上显著；mean_incre_sq 的系数为 -17.7541，同样在 1% 水平上显著。这说明增量信息密度与商品销量之间存在显著的倒 U 型关系。具体而言，当增量信息密度处于较低水平时，评论中有效体验信息的增加能够提升商品销量；但当增量信息密度超过一定水平后，继续增加反而可能降低销量。</w:t>
      </w:r>
    </w:p>
    <w:p w14:paraId="5E698186">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hint="eastAsia" w:ascii="宋体" w:hAnsi="宋体" w:eastAsia="宋体" w:cs="宋体"/>
          <w:sz w:val="21"/>
        </w:rPr>
      </w:pPr>
      <w:r>
        <w:rPr>
          <w:rFonts w:hint="eastAsia" w:ascii="宋体" w:hAnsi="宋体" w:eastAsia="宋体" w:cs="宋体"/>
          <w:sz w:val="21"/>
        </w:rPr>
        <w:t>根据二次项模型计算，倒 U 型曲线的拐点约为 0.177。进一步的边际效应检验也表明，当 mean_incre = 0.05 时，增量信息密度的边际效应显著为正；当 mean_incre = 0.20 时，边际效应显著为负。这说明适度的增量信息能够降低消费者搜寻成本、提升购买信心，但过高的信息密度可能暴露更多产品适用限制或个体差异问题，进而引发消费者犹豫。因此，H1 的简单线性假设未完全成立，更准确的结论是：增量信息密度对美妆商品销量存在显著倒 U 型影响。</w:t>
      </w:r>
    </w:p>
    <w:p w14:paraId="72B9C4D5">
      <w:pPr>
        <w:pStyle w:val="6"/>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4</w:t>
      </w:r>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情感异质性影响分析</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11"/>
        <w:gridCol w:w="1584"/>
      </w:tblGrid>
      <w:tr w14:paraId="1E77A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single" w:color="auto" w:sz="6" w:space="0"/>
              <w:left w:val="nil"/>
              <w:bottom w:val="nil"/>
              <w:right w:val="nil"/>
              <w:tl2br w:val="nil"/>
              <w:tr2bl w:val="nil"/>
            </w:tcBorders>
            <w:noWrap w:val="0"/>
            <w:vAlign w:val="top"/>
          </w:tcPr>
          <w:p w14:paraId="4A62A4CC">
            <w:pPr>
              <w:spacing w:beforeLines="0" w:after="0" w:afterLines="0"/>
              <w:jc w:val="left"/>
              <w:rPr>
                <w:rFonts w:hint="default" w:ascii="Times New Roman" w:hAnsi="Times New Roman" w:eastAsia="宋体" w:cs="Times New Roman"/>
                <w:kern w:val="2"/>
                <w:sz w:val="24"/>
                <w:szCs w:val="24"/>
              </w:rPr>
            </w:pPr>
          </w:p>
        </w:tc>
        <w:tc>
          <w:tcPr>
            <w:tcW w:w="1584" w:type="dxa"/>
            <w:tcBorders>
              <w:top w:val="single" w:color="auto" w:sz="6" w:space="0"/>
              <w:left w:val="nil"/>
              <w:bottom w:val="nil"/>
              <w:right w:val="nil"/>
              <w:tl2br w:val="nil"/>
              <w:tr2bl w:val="nil"/>
            </w:tcBorders>
            <w:noWrap w:val="0"/>
            <w:vAlign w:val="top"/>
          </w:tcPr>
          <w:p w14:paraId="1D5E1D16">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w:t>
            </w:r>
          </w:p>
        </w:tc>
      </w:tr>
      <w:tr w14:paraId="7E57D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single" w:color="auto" w:sz="6" w:space="0"/>
              <w:right w:val="nil"/>
              <w:tl2br w:val="nil"/>
              <w:tr2bl w:val="nil"/>
            </w:tcBorders>
            <w:noWrap w:val="0"/>
            <w:vAlign w:val="top"/>
          </w:tcPr>
          <w:p w14:paraId="0B2181C8">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VARIABLES</w:t>
            </w:r>
          </w:p>
        </w:tc>
        <w:tc>
          <w:tcPr>
            <w:tcW w:w="1584" w:type="dxa"/>
            <w:tcBorders>
              <w:top w:val="nil"/>
              <w:left w:val="nil"/>
              <w:bottom w:val="single" w:color="auto" w:sz="6" w:space="0"/>
              <w:right w:val="nil"/>
              <w:tl2br w:val="nil"/>
              <w:tr2bl w:val="nil"/>
            </w:tcBorders>
            <w:noWrap w:val="0"/>
            <w:vAlign w:val="top"/>
          </w:tcPr>
          <w:p w14:paraId="291959BD">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log_sales</w:t>
            </w:r>
          </w:p>
        </w:tc>
      </w:tr>
      <w:tr w14:paraId="17379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4419C56E">
            <w:pPr>
              <w:spacing w:beforeLines="0" w:after="0" w:afterLines="0"/>
              <w:jc w:val="left"/>
              <w:rPr>
                <w:rFonts w:hint="default" w:ascii="Times New Roman" w:hAnsi="Times New Roman" w:eastAsia="宋体" w:cs="Times New Roman"/>
                <w:kern w:val="2"/>
                <w:sz w:val="24"/>
                <w:szCs w:val="24"/>
              </w:rPr>
            </w:pPr>
          </w:p>
        </w:tc>
        <w:tc>
          <w:tcPr>
            <w:tcW w:w="1584" w:type="dxa"/>
            <w:tcBorders>
              <w:top w:val="nil"/>
              <w:left w:val="nil"/>
              <w:bottom w:val="nil"/>
              <w:right w:val="nil"/>
              <w:tl2br w:val="nil"/>
              <w:tr2bl w:val="nil"/>
            </w:tcBorders>
            <w:noWrap w:val="0"/>
            <w:vAlign w:val="top"/>
          </w:tcPr>
          <w:p w14:paraId="330F022B">
            <w:pPr>
              <w:spacing w:beforeLines="0" w:after="0" w:afterLines="0"/>
              <w:jc w:val="center"/>
              <w:rPr>
                <w:rFonts w:hint="default" w:ascii="Times New Roman" w:hAnsi="Times New Roman" w:eastAsia="宋体" w:cs="Times New Roman"/>
                <w:kern w:val="2"/>
                <w:sz w:val="24"/>
                <w:szCs w:val="24"/>
              </w:rPr>
            </w:pPr>
          </w:p>
        </w:tc>
      </w:tr>
      <w:tr w14:paraId="1390F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68AD8197">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total_pos</w:t>
            </w:r>
          </w:p>
        </w:tc>
        <w:tc>
          <w:tcPr>
            <w:tcW w:w="1584" w:type="dxa"/>
            <w:tcBorders>
              <w:top w:val="nil"/>
              <w:left w:val="nil"/>
              <w:bottom w:val="nil"/>
              <w:right w:val="nil"/>
              <w:tl2br w:val="nil"/>
              <w:tr2bl w:val="nil"/>
            </w:tcBorders>
            <w:noWrap w:val="0"/>
            <w:vAlign w:val="top"/>
          </w:tcPr>
          <w:p w14:paraId="41541735">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0.0083***</w:t>
            </w:r>
          </w:p>
        </w:tc>
      </w:tr>
      <w:tr w14:paraId="624EB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41E22725">
            <w:pPr>
              <w:spacing w:beforeLines="0" w:after="0" w:afterLines="0"/>
              <w:jc w:val="left"/>
              <w:rPr>
                <w:rFonts w:hint="default" w:ascii="Times New Roman" w:hAnsi="Times New Roman" w:eastAsia="宋体" w:cs="Times New Roman"/>
                <w:kern w:val="2"/>
                <w:sz w:val="24"/>
                <w:szCs w:val="24"/>
              </w:rPr>
            </w:pPr>
          </w:p>
        </w:tc>
        <w:tc>
          <w:tcPr>
            <w:tcW w:w="1584" w:type="dxa"/>
            <w:tcBorders>
              <w:top w:val="nil"/>
              <w:left w:val="nil"/>
              <w:bottom w:val="nil"/>
              <w:right w:val="nil"/>
              <w:tl2br w:val="nil"/>
              <w:tr2bl w:val="nil"/>
            </w:tcBorders>
            <w:noWrap w:val="0"/>
            <w:vAlign w:val="top"/>
          </w:tcPr>
          <w:p w14:paraId="4DF54226">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(0.0017)</w:t>
            </w:r>
          </w:p>
        </w:tc>
      </w:tr>
      <w:tr w14:paraId="5EE1D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38C38F52">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total_neg</w:t>
            </w:r>
          </w:p>
        </w:tc>
        <w:tc>
          <w:tcPr>
            <w:tcW w:w="1584" w:type="dxa"/>
            <w:tcBorders>
              <w:top w:val="nil"/>
              <w:left w:val="nil"/>
              <w:bottom w:val="nil"/>
              <w:right w:val="nil"/>
              <w:tl2br w:val="nil"/>
              <w:tr2bl w:val="nil"/>
            </w:tcBorders>
            <w:noWrap w:val="0"/>
            <w:vAlign w:val="top"/>
          </w:tcPr>
          <w:p w14:paraId="644339E1">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0.0184***</w:t>
            </w:r>
          </w:p>
        </w:tc>
      </w:tr>
      <w:tr w14:paraId="19782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55318D97">
            <w:pPr>
              <w:spacing w:beforeLines="0" w:after="0" w:afterLines="0"/>
              <w:jc w:val="left"/>
              <w:rPr>
                <w:rFonts w:hint="default" w:ascii="Times New Roman" w:hAnsi="Times New Roman" w:eastAsia="宋体" w:cs="Times New Roman"/>
                <w:kern w:val="2"/>
                <w:sz w:val="24"/>
                <w:szCs w:val="24"/>
              </w:rPr>
            </w:pPr>
          </w:p>
        </w:tc>
        <w:tc>
          <w:tcPr>
            <w:tcW w:w="1584" w:type="dxa"/>
            <w:tcBorders>
              <w:top w:val="nil"/>
              <w:left w:val="nil"/>
              <w:bottom w:val="nil"/>
              <w:right w:val="nil"/>
              <w:tl2br w:val="nil"/>
              <w:tr2bl w:val="nil"/>
            </w:tcBorders>
            <w:noWrap w:val="0"/>
            <w:vAlign w:val="top"/>
          </w:tcPr>
          <w:p w14:paraId="1A239D85">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(0.0049)</w:t>
            </w:r>
          </w:p>
        </w:tc>
      </w:tr>
      <w:tr w14:paraId="47D58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3962C678">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mean_rating</w:t>
            </w:r>
          </w:p>
        </w:tc>
        <w:tc>
          <w:tcPr>
            <w:tcW w:w="1584" w:type="dxa"/>
            <w:tcBorders>
              <w:top w:val="nil"/>
              <w:left w:val="nil"/>
              <w:bottom w:val="nil"/>
              <w:right w:val="nil"/>
              <w:tl2br w:val="nil"/>
              <w:tr2bl w:val="nil"/>
            </w:tcBorders>
            <w:noWrap w:val="0"/>
            <w:vAlign w:val="top"/>
          </w:tcPr>
          <w:p w14:paraId="633F2311">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0.0057</w:t>
            </w:r>
          </w:p>
        </w:tc>
      </w:tr>
      <w:tr w14:paraId="32E21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0EBBD57F">
            <w:pPr>
              <w:spacing w:beforeLines="0" w:after="0" w:afterLines="0"/>
              <w:jc w:val="left"/>
              <w:rPr>
                <w:rFonts w:hint="default" w:ascii="Times New Roman" w:hAnsi="Times New Roman" w:eastAsia="宋体" w:cs="Times New Roman"/>
                <w:kern w:val="2"/>
                <w:sz w:val="24"/>
                <w:szCs w:val="24"/>
              </w:rPr>
            </w:pPr>
          </w:p>
        </w:tc>
        <w:tc>
          <w:tcPr>
            <w:tcW w:w="1584" w:type="dxa"/>
            <w:tcBorders>
              <w:top w:val="nil"/>
              <w:left w:val="nil"/>
              <w:bottom w:val="nil"/>
              <w:right w:val="nil"/>
              <w:tl2br w:val="nil"/>
              <w:tr2bl w:val="nil"/>
            </w:tcBorders>
            <w:noWrap w:val="0"/>
            <w:vAlign w:val="top"/>
          </w:tcPr>
          <w:p w14:paraId="47E081DF">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(0.0115)</w:t>
            </w:r>
          </w:p>
        </w:tc>
      </w:tr>
      <w:tr w14:paraId="09503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1B4F47F2">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price</w:t>
            </w:r>
          </w:p>
        </w:tc>
        <w:tc>
          <w:tcPr>
            <w:tcW w:w="1584" w:type="dxa"/>
            <w:tcBorders>
              <w:top w:val="nil"/>
              <w:left w:val="nil"/>
              <w:bottom w:val="nil"/>
              <w:right w:val="nil"/>
              <w:tl2br w:val="nil"/>
              <w:tr2bl w:val="nil"/>
            </w:tcBorders>
            <w:noWrap w:val="0"/>
            <w:vAlign w:val="top"/>
          </w:tcPr>
          <w:p w14:paraId="28C18970">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-0.0015***</w:t>
            </w:r>
          </w:p>
        </w:tc>
      </w:tr>
      <w:tr w14:paraId="4C257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13413836">
            <w:pPr>
              <w:spacing w:beforeLines="0" w:after="0" w:afterLines="0"/>
              <w:jc w:val="left"/>
              <w:rPr>
                <w:rFonts w:hint="default" w:ascii="Times New Roman" w:hAnsi="Times New Roman" w:eastAsia="宋体" w:cs="Times New Roman"/>
                <w:kern w:val="2"/>
                <w:sz w:val="24"/>
                <w:szCs w:val="24"/>
              </w:rPr>
            </w:pPr>
          </w:p>
        </w:tc>
        <w:tc>
          <w:tcPr>
            <w:tcW w:w="1584" w:type="dxa"/>
            <w:tcBorders>
              <w:top w:val="nil"/>
              <w:left w:val="nil"/>
              <w:bottom w:val="nil"/>
              <w:right w:val="nil"/>
              <w:tl2br w:val="nil"/>
              <w:tr2bl w:val="nil"/>
            </w:tcBorders>
            <w:noWrap w:val="0"/>
            <w:vAlign w:val="top"/>
          </w:tcPr>
          <w:p w14:paraId="1BC072E4">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(0.0003)</w:t>
            </w:r>
          </w:p>
        </w:tc>
      </w:tr>
      <w:tr w14:paraId="54CDE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13F8A96A">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mean_user_activity</w:t>
            </w:r>
          </w:p>
        </w:tc>
        <w:tc>
          <w:tcPr>
            <w:tcW w:w="1584" w:type="dxa"/>
            <w:tcBorders>
              <w:top w:val="nil"/>
              <w:left w:val="nil"/>
              <w:bottom w:val="nil"/>
              <w:right w:val="nil"/>
              <w:tl2br w:val="nil"/>
              <w:tr2bl w:val="nil"/>
            </w:tcBorders>
            <w:noWrap w:val="0"/>
            <w:vAlign w:val="top"/>
          </w:tcPr>
          <w:p w14:paraId="7829437A">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-0.0381***</w:t>
            </w:r>
          </w:p>
        </w:tc>
      </w:tr>
      <w:tr w14:paraId="7BE79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0F4FBEBB">
            <w:pPr>
              <w:spacing w:beforeLines="0" w:after="0" w:afterLines="0"/>
              <w:jc w:val="left"/>
              <w:rPr>
                <w:rFonts w:hint="default" w:ascii="Times New Roman" w:hAnsi="Times New Roman" w:eastAsia="宋体" w:cs="Times New Roman"/>
                <w:kern w:val="2"/>
                <w:sz w:val="24"/>
                <w:szCs w:val="24"/>
              </w:rPr>
            </w:pPr>
          </w:p>
        </w:tc>
        <w:tc>
          <w:tcPr>
            <w:tcW w:w="1584" w:type="dxa"/>
            <w:tcBorders>
              <w:top w:val="nil"/>
              <w:left w:val="nil"/>
              <w:bottom w:val="nil"/>
              <w:right w:val="nil"/>
              <w:tl2br w:val="nil"/>
              <w:tr2bl w:val="nil"/>
            </w:tcBorders>
            <w:noWrap w:val="0"/>
            <w:vAlign w:val="top"/>
          </w:tcPr>
          <w:p w14:paraId="0F2ED688">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(0.0113)</w:t>
            </w:r>
          </w:p>
        </w:tc>
      </w:tr>
      <w:tr w14:paraId="523D8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3C3E0932">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Constant</w:t>
            </w:r>
          </w:p>
        </w:tc>
        <w:tc>
          <w:tcPr>
            <w:tcW w:w="1584" w:type="dxa"/>
            <w:tcBorders>
              <w:top w:val="nil"/>
              <w:left w:val="nil"/>
              <w:bottom w:val="nil"/>
              <w:right w:val="nil"/>
              <w:tl2br w:val="nil"/>
              <w:tr2bl w:val="nil"/>
            </w:tcBorders>
            <w:noWrap w:val="0"/>
            <w:vAlign w:val="top"/>
          </w:tcPr>
          <w:p w14:paraId="316D99BB">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2.0356***</w:t>
            </w:r>
          </w:p>
        </w:tc>
      </w:tr>
      <w:tr w14:paraId="41368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0C393985">
            <w:pPr>
              <w:spacing w:beforeLines="0" w:after="0" w:afterLines="0"/>
              <w:jc w:val="left"/>
              <w:rPr>
                <w:rFonts w:hint="default" w:ascii="Times New Roman" w:hAnsi="Times New Roman" w:eastAsia="宋体" w:cs="Times New Roman"/>
                <w:kern w:val="2"/>
                <w:sz w:val="24"/>
                <w:szCs w:val="24"/>
              </w:rPr>
            </w:pPr>
          </w:p>
        </w:tc>
        <w:tc>
          <w:tcPr>
            <w:tcW w:w="1584" w:type="dxa"/>
            <w:tcBorders>
              <w:top w:val="nil"/>
              <w:left w:val="nil"/>
              <w:bottom w:val="nil"/>
              <w:right w:val="nil"/>
              <w:tl2br w:val="nil"/>
              <w:tr2bl w:val="nil"/>
            </w:tcBorders>
            <w:noWrap w:val="0"/>
            <w:vAlign w:val="top"/>
          </w:tcPr>
          <w:p w14:paraId="4ED89462">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(0.0504)</w:t>
            </w:r>
          </w:p>
        </w:tc>
      </w:tr>
      <w:tr w14:paraId="5A515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077ED709">
            <w:pPr>
              <w:spacing w:beforeLines="0" w:after="0" w:afterLines="0"/>
              <w:jc w:val="left"/>
              <w:rPr>
                <w:rFonts w:hint="default" w:ascii="Times New Roman" w:hAnsi="Times New Roman" w:eastAsia="宋体" w:cs="Times New Roman"/>
                <w:kern w:val="2"/>
                <w:sz w:val="24"/>
                <w:szCs w:val="24"/>
              </w:rPr>
            </w:pPr>
          </w:p>
        </w:tc>
        <w:tc>
          <w:tcPr>
            <w:tcW w:w="1584" w:type="dxa"/>
            <w:tcBorders>
              <w:top w:val="nil"/>
              <w:left w:val="nil"/>
              <w:bottom w:val="nil"/>
              <w:right w:val="nil"/>
              <w:tl2br w:val="nil"/>
              <w:tr2bl w:val="nil"/>
            </w:tcBorders>
            <w:noWrap w:val="0"/>
            <w:vAlign w:val="top"/>
          </w:tcPr>
          <w:p w14:paraId="3925E905">
            <w:pPr>
              <w:spacing w:beforeLines="0" w:after="0" w:afterLines="0"/>
              <w:jc w:val="center"/>
              <w:rPr>
                <w:rFonts w:hint="default" w:ascii="Times New Roman" w:hAnsi="Times New Roman" w:eastAsia="宋体" w:cs="Times New Roman"/>
                <w:kern w:val="2"/>
                <w:sz w:val="24"/>
                <w:szCs w:val="24"/>
              </w:rPr>
            </w:pPr>
          </w:p>
        </w:tc>
      </w:tr>
      <w:tr w14:paraId="7AD5A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3EB4E90B">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Observations</w:t>
            </w:r>
          </w:p>
        </w:tc>
        <w:tc>
          <w:tcPr>
            <w:tcW w:w="1584" w:type="dxa"/>
            <w:tcBorders>
              <w:top w:val="nil"/>
              <w:left w:val="nil"/>
              <w:bottom w:val="nil"/>
              <w:right w:val="nil"/>
              <w:tl2br w:val="nil"/>
              <w:tr2bl w:val="nil"/>
            </w:tcBorders>
            <w:noWrap w:val="0"/>
            <w:vAlign w:val="top"/>
          </w:tcPr>
          <w:p w14:paraId="2C5F3A2B">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8,152</w:t>
            </w:r>
          </w:p>
        </w:tc>
      </w:tr>
      <w:tr w14:paraId="384B00C6">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single" w:color="auto" w:sz="6" w:space="0"/>
              <w:right w:val="nil"/>
              <w:tl2br w:val="nil"/>
              <w:tr2bl w:val="nil"/>
            </w:tcBorders>
            <w:noWrap w:val="0"/>
            <w:vAlign w:val="top"/>
          </w:tcPr>
          <w:p w14:paraId="4232D6F3">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R-squared</w:t>
            </w:r>
          </w:p>
        </w:tc>
        <w:tc>
          <w:tcPr>
            <w:tcW w:w="1584" w:type="dxa"/>
            <w:tcBorders>
              <w:top w:val="nil"/>
              <w:left w:val="nil"/>
              <w:bottom w:val="single" w:color="auto" w:sz="6" w:space="0"/>
              <w:right w:val="nil"/>
              <w:tl2br w:val="nil"/>
              <w:tr2bl w:val="nil"/>
            </w:tcBorders>
            <w:noWrap w:val="0"/>
            <w:vAlign w:val="top"/>
          </w:tcPr>
          <w:p w14:paraId="0BE19DF2">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0.3496</w:t>
            </w:r>
          </w:p>
        </w:tc>
      </w:tr>
    </w:tbl>
    <w:p w14:paraId="6ECF09F5">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Robust standard errors in parentheses</w:t>
      </w:r>
    </w:p>
    <w:p w14:paraId="0D4B91AB">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p&lt;0.01, ** p&lt;0.05, * p&lt;0.1</w:t>
      </w:r>
    </w:p>
    <w:p w14:paraId="3F9805AA">
      <w:pPr>
        <w:pStyle w:val="5"/>
        <w:jc w:val="center"/>
        <w:rPr>
          <w:rFonts w:hint="eastAsia" w:ascii="宋体" w:hAnsi="宋体" w:eastAsia="宋体" w:cs="宋体"/>
          <w:b/>
          <w:bCs/>
          <w:i w:val="0"/>
          <w:iCs/>
          <w:sz w:val="21"/>
          <w:szCs w:val="21"/>
        </w:rPr>
      </w:pPr>
    </w:p>
    <w:p w14:paraId="659A5AF0">
      <w:pPr>
        <w:pStyle w:val="5"/>
        <w:jc w:val="center"/>
        <w:rPr>
          <w:rFonts w:hint="eastAsia" w:ascii="宋体" w:hAnsi="宋体" w:eastAsia="宋体" w:cs="宋体"/>
          <w:b/>
          <w:bCs/>
          <w:i w:val="0"/>
          <w:iCs/>
          <w:sz w:val="15"/>
          <w:szCs w:val="15"/>
          <w:lang w:eastAsia="zh-CN"/>
        </w:rPr>
      </w:pPr>
      <w:r>
        <w:rPr>
          <w:rFonts w:hint="eastAsia" w:ascii="宋体" w:hAnsi="宋体" w:eastAsia="宋体" w:cs="宋体"/>
          <w:b/>
          <w:bCs/>
          <w:i w:val="0"/>
          <w:iCs/>
          <w:sz w:val="15"/>
          <w:szCs w:val="15"/>
        </w:rPr>
        <w:t xml:space="preserve">表 </w:t>
      </w:r>
      <w:r>
        <w:rPr>
          <w:rFonts w:hint="eastAsia" w:ascii="宋体" w:hAnsi="宋体" w:eastAsia="宋体" w:cs="宋体"/>
          <w:b/>
          <w:bCs/>
          <w:i w:val="0"/>
          <w:iCs/>
          <w:sz w:val="15"/>
          <w:szCs w:val="15"/>
          <w:lang w:val="en-US" w:eastAsia="zh-CN"/>
        </w:rPr>
        <w:t>4</w:t>
      </w:r>
      <w:r>
        <w:rPr>
          <w:rFonts w:hint="eastAsia" w:ascii="宋体" w:hAnsi="宋体" w:eastAsia="宋体" w:cs="宋体"/>
          <w:b/>
          <w:bCs/>
          <w:i w:val="0"/>
          <w:iCs/>
          <w:sz w:val="15"/>
          <w:szCs w:val="15"/>
          <w:lang w:eastAsia="zh-CN"/>
        </w:rPr>
        <w:t xml:space="preserve"> 情感异质性对销量的影响</w:t>
      </w:r>
    </w:p>
    <w:p w14:paraId="76BA6A74">
      <w:pPr>
        <w:spacing w:beforeLines="0" w:after="0" w:afterLines="0"/>
        <w:jc w:val="center"/>
        <w:rPr>
          <w:rFonts w:hint="eastAsia" w:ascii="Times New Roman" w:hAnsi="Times New Roman" w:eastAsia="宋体" w:cs="Times New Roman"/>
          <w:kern w:val="2"/>
          <w:sz w:val="24"/>
          <w:szCs w:val="24"/>
        </w:rPr>
      </w:pPr>
    </w:p>
    <w:p w14:paraId="375C41F5">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hint="eastAsia" w:ascii="宋体" w:hAnsi="宋体" w:eastAsia="宋体" w:cs="宋体"/>
          <w:sz w:val="21"/>
        </w:rPr>
      </w:pPr>
      <w:r>
        <w:rPr>
          <w:rFonts w:hint="eastAsia" w:ascii="宋体" w:hAnsi="宋体" w:eastAsia="宋体" w:cs="宋体"/>
          <w:sz w:val="21"/>
        </w:rPr>
        <w:t xml:space="preserve">从表 </w:t>
      </w:r>
      <w:r>
        <w:rPr>
          <w:rFonts w:hint="eastAsia" w:ascii="宋体" w:hAnsi="宋体" w:eastAsia="宋体" w:cs="宋体"/>
          <w:sz w:val="21"/>
          <w:lang w:val="en-US" w:eastAsia="zh-CN"/>
        </w:rPr>
        <w:t>4</w:t>
      </w:r>
      <w:r>
        <w:rPr>
          <w:rFonts w:hint="eastAsia" w:ascii="宋体" w:hAnsi="宋体" w:eastAsia="宋体" w:cs="宋体"/>
          <w:sz w:val="21"/>
        </w:rPr>
        <w:t xml:space="preserve"> 可以看出，total_pos 的系数为 0.0083，且在 1% 水平上显著，说明正向增量信息越多，商品销量越高。这表明评论中关于“服帖”“保湿”“持妆”“提亮”等正向体验描述能够向潜在消费者传递积极信号，从而促进购买决策。</w:t>
      </w:r>
    </w:p>
    <w:p w14:paraId="0DD1562F">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hint="eastAsia" w:ascii="宋体" w:hAnsi="宋体" w:eastAsia="宋体" w:cs="宋体"/>
          <w:sz w:val="21"/>
        </w:rPr>
      </w:pPr>
      <w:r>
        <w:rPr>
          <w:rFonts w:hint="eastAsia" w:ascii="宋体" w:hAnsi="宋体" w:eastAsia="宋体" w:cs="宋体"/>
          <w:sz w:val="21"/>
        </w:rPr>
        <w:t>但与原假设不同的是，total_neg 的系数为 0.0184，也在 1% 水平上显著，且方向为正。这说明在本文样本中，负向增量信息并没有表现出对销量的抑制作用，反而与商品销量呈显著正相关。对此可以从两个方面理解：一方面，销量较高的商品往往积累了更多评论，因此也更容易出现更多具体的负向体验信息；另一方面，适量且具体的负面评论可能提升评论区的真实性，使消费者认为评价内容并非完全由商家营销话术构成。</w:t>
      </w:r>
    </w:p>
    <w:p w14:paraId="715FF9BE">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hint="eastAsia" w:ascii="宋体" w:hAnsi="宋体" w:eastAsia="宋体" w:cs="宋体"/>
          <w:sz w:val="21"/>
        </w:rPr>
      </w:pPr>
      <w:r>
        <w:rPr>
          <w:rFonts w:hint="eastAsia" w:ascii="宋体" w:hAnsi="宋体" w:eastAsia="宋体" w:cs="宋体"/>
          <w:sz w:val="21"/>
        </w:rPr>
        <w:t>因此，H2 只得到部分支持。正向增量信息确实能够显著提升销量，但负向增量信息并未显著降低销量，而是呈现正向关系。这说明在美妆商品情境中，负向体验信息并不必然形成销量惩罚，其作用可能同时受到商品热度、评论总量和消费者对评论真实性判断的影响。</w:t>
      </w:r>
    </w:p>
    <w:p w14:paraId="25A23F6F">
      <w:pPr>
        <w:pStyle w:val="6"/>
        <w:keepNext w:val="0"/>
        <w:keepLines w:val="0"/>
        <w:pageBreakBefore w:val="0"/>
        <w:widowControl/>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sz w:val="21"/>
        </w:rPr>
      </w:pPr>
      <w:r>
        <w:rPr>
          <w:rFonts w:hint="eastAsia" w:ascii="宋体" w:hAnsi="宋体" w:eastAsia="宋体" w:cs="宋体"/>
          <w:sz w:val="21"/>
        </w:rPr>
        <w:t>进一步检验显示，total_pos与</w:t>
      </w:r>
      <w:r>
        <w:rPr>
          <w:rFonts w:hint="eastAsia" w:ascii="宋体" w:hAnsi="宋体" w:eastAsia="宋体" w:cs="宋体"/>
          <w:sz w:val="21"/>
          <w:lang w:val="en-US" w:eastAsia="zh-CN"/>
        </w:rPr>
        <w:t>-</w:t>
      </w:r>
      <w:r>
        <w:rPr>
          <w:rFonts w:hint="eastAsia" w:ascii="宋体" w:hAnsi="宋体" w:eastAsia="宋体" w:cs="宋体"/>
          <w:sz w:val="21"/>
        </w:rPr>
        <w:t>total_neg的系数存在显著差异（F = 33.58，p &lt; 0.01），说明正向与负向增量信息对销量的边际影响在量级上存在不对称性，负向信息的边际效应（系数0.0184）明显大于正向信息（系数0.0083）</w:t>
      </w:r>
    </w:p>
    <w:p w14:paraId="38770F8A">
      <w:pPr>
        <w:pStyle w:val="6"/>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4</w:t>
      </w:r>
      <w:r>
        <w:rPr>
          <w:rFonts w:ascii="Times New Roman" w:hAnsi="Times New Roman" w:eastAsia="宋体" w:cs="Times New Roman"/>
          <w:b/>
          <w:bCs/>
          <w:sz w:val="21"/>
          <w:szCs w:val="21"/>
        </w:rPr>
        <w:t xml:space="preserve">.4 </w:t>
      </w:r>
      <w:r>
        <w:rPr>
          <w:rFonts w:hint="eastAsia" w:ascii="Times New Roman" w:hAnsi="Times New Roman" w:eastAsia="宋体" w:cs="Times New Roman"/>
          <w:b/>
          <w:bCs/>
          <w:sz w:val="21"/>
          <w:szCs w:val="21"/>
        </w:rPr>
        <w:t>真实购买占比的调节作用</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99"/>
        <w:gridCol w:w="1728"/>
      </w:tblGrid>
      <w:tr w14:paraId="33D77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single" w:color="auto" w:sz="6" w:space="0"/>
              <w:left w:val="nil"/>
              <w:bottom w:val="nil"/>
              <w:right w:val="nil"/>
              <w:tl2br w:val="nil"/>
              <w:tr2bl w:val="nil"/>
            </w:tcBorders>
            <w:noWrap w:val="0"/>
            <w:vAlign w:val="top"/>
          </w:tcPr>
          <w:p w14:paraId="2046A52E">
            <w:pPr>
              <w:spacing w:beforeLines="0" w:after="0" w:afterLines="0"/>
              <w:jc w:val="left"/>
              <w:rPr>
                <w:rFonts w:hint="default" w:ascii="Times New Roman" w:hAnsi="Times New Roman" w:eastAsia="宋体" w:cs="Times New Roman"/>
                <w:kern w:val="2"/>
                <w:sz w:val="24"/>
                <w:szCs w:val="24"/>
              </w:rPr>
            </w:pPr>
          </w:p>
        </w:tc>
        <w:tc>
          <w:tcPr>
            <w:tcW w:w="1728" w:type="dxa"/>
            <w:tcBorders>
              <w:top w:val="single" w:color="auto" w:sz="6" w:space="0"/>
              <w:left w:val="nil"/>
              <w:bottom w:val="nil"/>
              <w:right w:val="nil"/>
              <w:tl2br w:val="nil"/>
              <w:tr2bl w:val="nil"/>
            </w:tcBorders>
            <w:noWrap w:val="0"/>
            <w:vAlign w:val="top"/>
          </w:tcPr>
          <w:p w14:paraId="7845BCCB">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w:t>
            </w:r>
          </w:p>
        </w:tc>
      </w:tr>
      <w:tr w14:paraId="5C9EA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single" w:color="auto" w:sz="6" w:space="0"/>
              <w:right w:val="nil"/>
              <w:tl2br w:val="nil"/>
              <w:tr2bl w:val="nil"/>
            </w:tcBorders>
            <w:noWrap w:val="0"/>
            <w:vAlign w:val="top"/>
          </w:tcPr>
          <w:p w14:paraId="56000E52">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VARIABLES</w:t>
            </w:r>
          </w:p>
        </w:tc>
        <w:tc>
          <w:tcPr>
            <w:tcW w:w="1728" w:type="dxa"/>
            <w:tcBorders>
              <w:top w:val="nil"/>
              <w:left w:val="nil"/>
              <w:bottom w:val="single" w:color="auto" w:sz="6" w:space="0"/>
              <w:right w:val="nil"/>
              <w:tl2br w:val="nil"/>
              <w:tr2bl w:val="nil"/>
            </w:tcBorders>
            <w:noWrap w:val="0"/>
            <w:vAlign w:val="top"/>
          </w:tcPr>
          <w:p w14:paraId="61705DFC">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log_sales</w:t>
            </w:r>
          </w:p>
        </w:tc>
      </w:tr>
      <w:tr w14:paraId="00DF8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03D9B557">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0F2D1E24">
            <w:pPr>
              <w:spacing w:beforeLines="0" w:after="0" w:afterLines="0"/>
              <w:jc w:val="center"/>
              <w:rPr>
                <w:rFonts w:hint="default" w:ascii="Times New Roman" w:hAnsi="Times New Roman" w:eastAsia="宋体" w:cs="Times New Roman"/>
                <w:kern w:val="2"/>
                <w:sz w:val="24"/>
                <w:szCs w:val="24"/>
              </w:rPr>
            </w:pPr>
          </w:p>
        </w:tc>
      </w:tr>
      <w:tr w14:paraId="0D568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58020BE9">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c_incre</w:t>
            </w:r>
          </w:p>
        </w:tc>
        <w:tc>
          <w:tcPr>
            <w:tcW w:w="1728" w:type="dxa"/>
            <w:tcBorders>
              <w:top w:val="nil"/>
              <w:left w:val="nil"/>
              <w:bottom w:val="nil"/>
              <w:right w:val="nil"/>
              <w:tl2br w:val="nil"/>
              <w:tr2bl w:val="nil"/>
            </w:tcBorders>
            <w:noWrap w:val="0"/>
            <w:vAlign w:val="top"/>
          </w:tcPr>
          <w:p w14:paraId="5599EBD2">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2.1966***</w:t>
            </w:r>
          </w:p>
        </w:tc>
      </w:tr>
      <w:tr w14:paraId="0406C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742FB006">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2F56F86D">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(0.1648)</w:t>
            </w:r>
          </w:p>
        </w:tc>
      </w:tr>
      <w:tr w14:paraId="44A70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541341BE">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c_incre_sq</w:t>
            </w:r>
          </w:p>
        </w:tc>
        <w:tc>
          <w:tcPr>
            <w:tcW w:w="1728" w:type="dxa"/>
            <w:tcBorders>
              <w:top w:val="nil"/>
              <w:left w:val="nil"/>
              <w:bottom w:val="nil"/>
              <w:right w:val="nil"/>
              <w:tl2br w:val="nil"/>
              <w:tr2bl w:val="nil"/>
            </w:tcBorders>
            <w:noWrap w:val="0"/>
            <w:vAlign w:val="top"/>
          </w:tcPr>
          <w:p w14:paraId="2B71F8BA">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-18.2271***</w:t>
            </w:r>
          </w:p>
        </w:tc>
      </w:tr>
      <w:tr w14:paraId="198EA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676C6EFE">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7BD6C597">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(1.4187)</w:t>
            </w:r>
          </w:p>
        </w:tc>
      </w:tr>
      <w:tr w14:paraId="6DC51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3F6655C0">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c_buy</w:t>
            </w:r>
          </w:p>
        </w:tc>
        <w:tc>
          <w:tcPr>
            <w:tcW w:w="1728" w:type="dxa"/>
            <w:tcBorders>
              <w:top w:val="nil"/>
              <w:left w:val="nil"/>
              <w:bottom w:val="nil"/>
              <w:right w:val="nil"/>
              <w:tl2br w:val="nil"/>
              <w:tr2bl w:val="nil"/>
            </w:tcBorders>
            <w:noWrap w:val="0"/>
            <w:vAlign w:val="top"/>
          </w:tcPr>
          <w:p w14:paraId="5B01AE9F">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-0.0049</w:t>
            </w:r>
          </w:p>
        </w:tc>
      </w:tr>
      <w:tr w14:paraId="6872D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49FE721C">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753D4232">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(0.0972)</w:t>
            </w:r>
          </w:p>
        </w:tc>
      </w:tr>
      <w:tr w14:paraId="46CD1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7AFF9B54">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c.c_incre#c.c_buy</w:t>
            </w:r>
          </w:p>
        </w:tc>
        <w:tc>
          <w:tcPr>
            <w:tcW w:w="1728" w:type="dxa"/>
            <w:tcBorders>
              <w:top w:val="nil"/>
              <w:left w:val="nil"/>
              <w:bottom w:val="nil"/>
              <w:right w:val="nil"/>
              <w:tl2br w:val="nil"/>
              <w:tr2bl w:val="nil"/>
            </w:tcBorders>
            <w:noWrap w:val="0"/>
            <w:vAlign w:val="top"/>
          </w:tcPr>
          <w:p w14:paraId="305A3961">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1.3968</w:t>
            </w:r>
          </w:p>
        </w:tc>
      </w:tr>
      <w:tr w14:paraId="37571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6D00064F">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2C765F0E">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(0.9539)</w:t>
            </w:r>
          </w:p>
        </w:tc>
      </w:tr>
      <w:tr w14:paraId="56AE2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7992DB17">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c.c_incre_sq#c.c_buy</w:t>
            </w:r>
          </w:p>
        </w:tc>
        <w:tc>
          <w:tcPr>
            <w:tcW w:w="1728" w:type="dxa"/>
            <w:tcBorders>
              <w:top w:val="nil"/>
              <w:left w:val="nil"/>
              <w:bottom w:val="nil"/>
              <w:right w:val="nil"/>
              <w:tl2br w:val="nil"/>
              <w:tr2bl w:val="nil"/>
            </w:tcBorders>
            <w:noWrap w:val="0"/>
            <w:vAlign w:val="top"/>
          </w:tcPr>
          <w:p w14:paraId="401251C1">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8.3529</w:t>
            </w:r>
          </w:p>
        </w:tc>
      </w:tr>
      <w:tr w14:paraId="6A16D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4D4B0CB8">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6F66FB3B">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(10.5035)</w:t>
            </w:r>
          </w:p>
        </w:tc>
      </w:tr>
      <w:tr w14:paraId="79E7D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677B6FEC">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mean_rating</w:t>
            </w:r>
          </w:p>
        </w:tc>
        <w:tc>
          <w:tcPr>
            <w:tcW w:w="1728" w:type="dxa"/>
            <w:tcBorders>
              <w:top w:val="nil"/>
              <w:left w:val="nil"/>
              <w:bottom w:val="nil"/>
              <w:right w:val="nil"/>
              <w:tl2br w:val="nil"/>
              <w:tr2bl w:val="nil"/>
            </w:tcBorders>
            <w:noWrap w:val="0"/>
            <w:vAlign w:val="top"/>
          </w:tcPr>
          <w:p w14:paraId="79823D52">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-0.0057</w:t>
            </w:r>
          </w:p>
        </w:tc>
      </w:tr>
      <w:tr w14:paraId="0E68E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4EFFD1F8">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49E90999">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(0.0132)</w:t>
            </w:r>
          </w:p>
        </w:tc>
      </w:tr>
      <w:tr w14:paraId="3BC4B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2ADC1117">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price</w:t>
            </w:r>
          </w:p>
        </w:tc>
        <w:tc>
          <w:tcPr>
            <w:tcW w:w="1728" w:type="dxa"/>
            <w:tcBorders>
              <w:top w:val="nil"/>
              <w:left w:val="nil"/>
              <w:bottom w:val="nil"/>
              <w:right w:val="nil"/>
              <w:tl2br w:val="nil"/>
              <w:tr2bl w:val="nil"/>
            </w:tcBorders>
            <w:noWrap w:val="0"/>
            <w:vAlign w:val="top"/>
          </w:tcPr>
          <w:p w14:paraId="09C9D825">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-0.0016***</w:t>
            </w:r>
          </w:p>
        </w:tc>
      </w:tr>
      <w:tr w14:paraId="27F40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19F84A11">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7026D2BD">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(0.0004)</w:t>
            </w:r>
          </w:p>
        </w:tc>
      </w:tr>
      <w:tr w14:paraId="50E98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7A6AE2CE">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mean_user_activity</w:t>
            </w:r>
          </w:p>
        </w:tc>
        <w:tc>
          <w:tcPr>
            <w:tcW w:w="1728" w:type="dxa"/>
            <w:tcBorders>
              <w:top w:val="nil"/>
              <w:left w:val="nil"/>
              <w:bottom w:val="nil"/>
              <w:right w:val="nil"/>
              <w:tl2br w:val="nil"/>
              <w:tr2bl w:val="nil"/>
            </w:tcBorders>
            <w:noWrap w:val="0"/>
            <w:vAlign w:val="top"/>
          </w:tcPr>
          <w:p w14:paraId="1F28BEB8">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-0.0242</w:t>
            </w:r>
          </w:p>
        </w:tc>
      </w:tr>
      <w:tr w14:paraId="070C9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4940CE3D">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5995D196">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(0.0151)</w:t>
            </w:r>
          </w:p>
        </w:tc>
      </w:tr>
      <w:tr w14:paraId="7BF12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5F477EED">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Constant</w:t>
            </w:r>
          </w:p>
        </w:tc>
        <w:tc>
          <w:tcPr>
            <w:tcW w:w="1728" w:type="dxa"/>
            <w:tcBorders>
              <w:top w:val="nil"/>
              <w:left w:val="nil"/>
              <w:bottom w:val="nil"/>
              <w:right w:val="nil"/>
              <w:tl2br w:val="nil"/>
              <w:tr2bl w:val="nil"/>
            </w:tcBorders>
            <w:noWrap w:val="0"/>
            <w:vAlign w:val="top"/>
          </w:tcPr>
          <w:p w14:paraId="1BEB5B52">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2.3794***</w:t>
            </w:r>
          </w:p>
        </w:tc>
      </w:tr>
      <w:tr w14:paraId="7B235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0E7ECE5A">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77C7A82F">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(0.0591)</w:t>
            </w:r>
          </w:p>
        </w:tc>
      </w:tr>
      <w:tr w14:paraId="4B2DB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21BA100E">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4B474402">
            <w:pPr>
              <w:spacing w:beforeLines="0" w:after="0" w:afterLines="0"/>
              <w:jc w:val="center"/>
              <w:rPr>
                <w:rFonts w:hint="default" w:ascii="Times New Roman" w:hAnsi="Times New Roman" w:eastAsia="宋体" w:cs="Times New Roman"/>
                <w:kern w:val="2"/>
                <w:sz w:val="24"/>
                <w:szCs w:val="24"/>
              </w:rPr>
            </w:pPr>
          </w:p>
        </w:tc>
      </w:tr>
      <w:tr w14:paraId="031FC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nil"/>
              <w:right w:val="nil"/>
              <w:tl2br w:val="nil"/>
              <w:tr2bl w:val="nil"/>
            </w:tcBorders>
            <w:noWrap w:val="0"/>
            <w:vAlign w:val="top"/>
          </w:tcPr>
          <w:p w14:paraId="77600B82">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Observations</w:t>
            </w:r>
          </w:p>
        </w:tc>
        <w:tc>
          <w:tcPr>
            <w:tcW w:w="1728" w:type="dxa"/>
            <w:tcBorders>
              <w:top w:val="nil"/>
              <w:left w:val="nil"/>
              <w:bottom w:val="nil"/>
              <w:right w:val="nil"/>
              <w:tl2br w:val="nil"/>
              <w:tr2bl w:val="nil"/>
            </w:tcBorders>
            <w:noWrap w:val="0"/>
            <w:vAlign w:val="top"/>
          </w:tcPr>
          <w:p w14:paraId="136B9A5F">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8,152</w:t>
            </w:r>
          </w:p>
        </w:tc>
      </w:tr>
      <w:tr w14:paraId="3389AE03">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9" w:type="dxa"/>
            <w:tcBorders>
              <w:top w:val="nil"/>
              <w:left w:val="nil"/>
              <w:bottom w:val="single" w:color="auto" w:sz="6" w:space="0"/>
              <w:right w:val="nil"/>
              <w:tl2br w:val="nil"/>
              <w:tr2bl w:val="nil"/>
            </w:tcBorders>
            <w:noWrap w:val="0"/>
            <w:vAlign w:val="top"/>
          </w:tcPr>
          <w:p w14:paraId="459F3D79">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R-squared</w:t>
            </w:r>
          </w:p>
        </w:tc>
        <w:tc>
          <w:tcPr>
            <w:tcW w:w="1728" w:type="dxa"/>
            <w:tcBorders>
              <w:top w:val="nil"/>
              <w:left w:val="nil"/>
              <w:bottom w:val="single" w:color="auto" w:sz="6" w:space="0"/>
              <w:right w:val="nil"/>
              <w:tl2br w:val="nil"/>
              <w:tr2bl w:val="nil"/>
            </w:tcBorders>
            <w:noWrap w:val="0"/>
            <w:vAlign w:val="top"/>
          </w:tcPr>
          <w:p w14:paraId="37578B39">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0.0599</w:t>
            </w:r>
          </w:p>
        </w:tc>
      </w:tr>
    </w:tbl>
    <w:p w14:paraId="668E0ADC">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Robust standard errors in parentheses</w:t>
      </w:r>
    </w:p>
    <w:p w14:paraId="35B04477">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p&lt;0.01, ** p&lt;0.05, * p&lt;0.1</w:t>
      </w:r>
    </w:p>
    <w:p w14:paraId="40B82AF9">
      <w:pPr>
        <w:pStyle w:val="5"/>
        <w:jc w:val="center"/>
        <w:rPr>
          <w:rFonts w:hint="eastAsia" w:ascii="宋体" w:hAnsi="宋体" w:eastAsia="宋体" w:cs="宋体"/>
          <w:b/>
          <w:bCs/>
          <w:i w:val="0"/>
          <w:iCs/>
          <w:sz w:val="21"/>
          <w:szCs w:val="21"/>
        </w:rPr>
      </w:pPr>
    </w:p>
    <w:p w14:paraId="7F2F3059">
      <w:pPr>
        <w:pStyle w:val="5"/>
        <w:jc w:val="center"/>
        <w:rPr>
          <w:rFonts w:hint="eastAsia" w:ascii="宋体" w:hAnsi="宋体" w:eastAsia="宋体" w:cs="宋体"/>
          <w:b/>
          <w:bCs/>
          <w:i w:val="0"/>
          <w:iCs/>
          <w:sz w:val="15"/>
          <w:szCs w:val="15"/>
          <w:lang w:eastAsia="zh-CN"/>
        </w:rPr>
      </w:pPr>
      <w:r>
        <w:rPr>
          <w:rFonts w:hint="eastAsia" w:ascii="宋体" w:hAnsi="宋体" w:eastAsia="宋体" w:cs="宋体"/>
          <w:b/>
          <w:bCs/>
          <w:i w:val="0"/>
          <w:iCs/>
          <w:sz w:val="15"/>
          <w:szCs w:val="15"/>
        </w:rPr>
        <w:t xml:space="preserve">表 </w:t>
      </w:r>
      <w:r>
        <w:rPr>
          <w:rFonts w:hint="eastAsia" w:ascii="宋体" w:hAnsi="宋体" w:eastAsia="宋体" w:cs="宋体"/>
          <w:b/>
          <w:bCs/>
          <w:i w:val="0"/>
          <w:iCs/>
          <w:sz w:val="15"/>
          <w:szCs w:val="15"/>
          <w:lang w:val="en-US" w:eastAsia="zh-CN"/>
        </w:rPr>
        <w:t>5</w:t>
      </w:r>
      <w:r>
        <w:rPr>
          <w:rFonts w:hint="eastAsia" w:ascii="宋体" w:hAnsi="宋体" w:eastAsia="宋体" w:cs="宋体"/>
          <w:b/>
          <w:bCs/>
          <w:i w:val="0"/>
          <w:iCs/>
          <w:sz w:val="15"/>
          <w:szCs w:val="15"/>
          <w:lang w:eastAsia="zh-CN"/>
        </w:rPr>
        <w:t xml:space="preserve"> 真实购买占比的调节效应</w:t>
      </w:r>
    </w:p>
    <w:p w14:paraId="5090FD9B">
      <w:pPr>
        <w:spacing w:beforeLines="0" w:after="0" w:afterLines="0"/>
        <w:jc w:val="center"/>
        <w:rPr>
          <w:rFonts w:hint="default" w:ascii="Times New Roman" w:hAnsi="Times New Roman" w:eastAsia="宋体" w:cs="Times New Roman"/>
          <w:kern w:val="2"/>
          <w:sz w:val="24"/>
          <w:szCs w:val="24"/>
        </w:rPr>
      </w:pPr>
    </w:p>
    <w:p w14:paraId="5F96A06E">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ascii="Times New Roman" w:hAnsi="Times New Roman" w:eastAsia="宋体" w:cs="Times New Roman"/>
          <w:sz w:val="21"/>
        </w:rPr>
      </w:pPr>
      <w:r>
        <w:rPr>
          <w:rFonts w:hint="eastAsia" w:ascii="Times New Roman" w:hAnsi="Times New Roman" w:eastAsia="宋体" w:cs="Times New Roman"/>
          <w:sz w:val="21"/>
        </w:rPr>
        <w:t>从表</w:t>
      </w:r>
      <w:r>
        <w:rPr>
          <w:rFonts w:ascii="Times New Roman" w:hAnsi="Times New Roman" w:eastAsia="宋体" w:cs="Times New Roman"/>
          <w:sz w:val="21"/>
        </w:rPr>
        <w:t xml:space="preserve"> </w:t>
      </w:r>
      <w:r>
        <w:rPr>
          <w:rFonts w:hint="eastAsia" w:ascii="Times New Roman" w:hAnsi="Times New Roman" w:eastAsia="宋体" w:cs="Times New Roman"/>
          <w:sz w:val="21"/>
          <w:lang w:val="en-US" w:eastAsia="zh-CN"/>
        </w:rPr>
        <w:t>5</w:t>
      </w:r>
      <w:r>
        <w:rPr>
          <w:rFonts w:ascii="Times New Roman" w:hAnsi="Times New Roman" w:eastAsia="宋体" w:cs="Times New Roman"/>
          <w:sz w:val="21"/>
        </w:rPr>
        <w:t xml:space="preserve"> </w:t>
      </w:r>
      <w:r>
        <w:rPr>
          <w:rFonts w:hint="eastAsia" w:ascii="Times New Roman" w:hAnsi="Times New Roman" w:eastAsia="宋体" w:cs="Times New Roman"/>
          <w:sz w:val="21"/>
        </w:rPr>
        <w:t>可以看出，在加入真实购买占比及其交互项后，c_incre</w:t>
      </w:r>
      <w:r>
        <w:rPr>
          <w:rFonts w:ascii="Times New Roman" w:hAnsi="Times New Roman" w:eastAsia="宋体" w:cs="Times New Roman"/>
          <w:sz w:val="21"/>
        </w:rPr>
        <w:t xml:space="preserve"> </w:t>
      </w:r>
      <w:r>
        <w:rPr>
          <w:rFonts w:hint="eastAsia" w:ascii="Times New Roman" w:hAnsi="Times New Roman" w:eastAsia="宋体" w:cs="Times New Roman"/>
          <w:sz w:val="21"/>
        </w:rPr>
        <w:t>的系数仍显著为正，c_incre_sq</w:t>
      </w:r>
      <w:r>
        <w:rPr>
          <w:rFonts w:ascii="Times New Roman" w:hAnsi="Times New Roman" w:eastAsia="宋体" w:cs="Times New Roman"/>
          <w:sz w:val="21"/>
        </w:rPr>
        <w:t xml:space="preserve"> </w:t>
      </w:r>
      <w:r>
        <w:rPr>
          <w:rFonts w:hint="eastAsia" w:ascii="Times New Roman" w:hAnsi="Times New Roman" w:eastAsia="宋体" w:cs="Times New Roman"/>
          <w:sz w:val="21"/>
        </w:rPr>
        <w:t>的系数仍显著为负，说明增量信息密度与销量之间的倒</w:t>
      </w:r>
      <w:r>
        <w:rPr>
          <w:rFonts w:ascii="Times New Roman" w:hAnsi="Times New Roman" w:eastAsia="宋体" w:cs="Times New Roman"/>
          <w:sz w:val="21"/>
        </w:rPr>
        <w:t xml:space="preserve"> U </w:t>
      </w:r>
      <w:r>
        <w:rPr>
          <w:rFonts w:hint="eastAsia" w:ascii="Times New Roman" w:hAnsi="Times New Roman" w:eastAsia="宋体" w:cs="Times New Roman"/>
          <w:sz w:val="21"/>
        </w:rPr>
        <w:t>型关系依然存在。</w:t>
      </w:r>
    </w:p>
    <w:p w14:paraId="633116A3">
      <w:pPr>
        <w:pStyle w:val="6"/>
        <w:keepNext w:val="0"/>
        <w:keepLines w:val="0"/>
        <w:pageBreakBefore w:val="0"/>
        <w:widowControl/>
        <w:kinsoku/>
        <w:wordWrap/>
        <w:overflowPunct/>
        <w:topLinePunct w:val="0"/>
        <w:autoSpaceDE/>
        <w:autoSpaceDN/>
        <w:bidi w:val="0"/>
        <w:adjustRightInd/>
        <w:snapToGrid/>
        <w:spacing w:before="0" w:after="0" w:line="360" w:lineRule="auto"/>
        <w:jc w:val="left"/>
        <w:textAlignment w:val="auto"/>
        <w:rPr>
          <w:rFonts w:ascii="Times New Roman" w:hAnsi="Times New Roman" w:eastAsia="宋体" w:cs="Times New Roman"/>
          <w:sz w:val="21"/>
        </w:rPr>
      </w:pPr>
      <w:r>
        <w:rPr>
          <w:rFonts w:hint="eastAsia" w:ascii="Times New Roman" w:hAnsi="Times New Roman" w:eastAsia="宋体" w:cs="Times New Roman"/>
          <w:sz w:val="21"/>
        </w:rPr>
        <w:t>从调节效应看，c_incre</w:t>
      </w:r>
      <w:r>
        <w:rPr>
          <w:rFonts w:ascii="Times New Roman" w:hAnsi="Times New Roman" w:eastAsia="宋体" w:cs="Times New Roman"/>
          <w:sz w:val="21"/>
        </w:rPr>
        <w:t xml:space="preserve"> × c_buy </w:t>
      </w:r>
      <w:r>
        <w:rPr>
          <w:rFonts w:hint="eastAsia" w:ascii="Times New Roman" w:hAnsi="Times New Roman" w:eastAsia="宋体" w:cs="Times New Roman"/>
          <w:sz w:val="21"/>
        </w:rPr>
        <w:t>的系数为</w:t>
      </w:r>
      <w:r>
        <w:rPr>
          <w:rFonts w:ascii="Times New Roman" w:hAnsi="Times New Roman" w:eastAsia="宋体" w:cs="Times New Roman"/>
          <w:sz w:val="21"/>
        </w:rPr>
        <w:t xml:space="preserve"> </w:t>
      </w:r>
      <w:r>
        <w:rPr>
          <w:rFonts w:hint="eastAsia" w:ascii="Times New Roman" w:hAnsi="Times New Roman" w:eastAsia="宋体" w:cs="Times New Roman"/>
          <w:sz w:val="21"/>
        </w:rPr>
        <w:t>1.3968，方向为正，但单独并不显著；c_incre_sq</w:t>
      </w:r>
      <w:r>
        <w:rPr>
          <w:rFonts w:ascii="Times New Roman" w:hAnsi="Times New Roman" w:eastAsia="宋体" w:cs="Times New Roman"/>
          <w:sz w:val="21"/>
        </w:rPr>
        <w:t xml:space="preserve"> × c_buy </w:t>
      </w:r>
      <w:r>
        <w:rPr>
          <w:rFonts w:hint="eastAsia" w:ascii="Times New Roman" w:hAnsi="Times New Roman" w:eastAsia="宋体" w:cs="Times New Roman"/>
          <w:sz w:val="21"/>
        </w:rPr>
        <w:t>的系数为</w:t>
      </w:r>
      <w:r>
        <w:rPr>
          <w:rFonts w:ascii="Times New Roman" w:hAnsi="Times New Roman" w:eastAsia="宋体" w:cs="Times New Roman"/>
          <w:sz w:val="21"/>
        </w:rPr>
        <w:t xml:space="preserve"> </w:t>
      </w:r>
      <w:r>
        <w:rPr>
          <w:rFonts w:hint="eastAsia" w:ascii="Times New Roman" w:hAnsi="Times New Roman" w:eastAsia="宋体" w:cs="Times New Roman"/>
          <w:sz w:val="21"/>
        </w:rPr>
        <w:t>8.3529，也未达到显著水平。不过，两个交互项的联合显著性检验结果显示，F</w:t>
      </w:r>
      <w:r>
        <w:rPr>
          <w:rFonts w:ascii="Times New Roman" w:hAnsi="Times New Roman" w:eastAsia="宋体" w:cs="Times New Roman"/>
          <w:sz w:val="21"/>
        </w:rPr>
        <w:t xml:space="preserve"> </w:t>
      </w:r>
      <w:r>
        <w:rPr>
          <w:rFonts w:hint="eastAsia" w:ascii="Times New Roman" w:hAnsi="Times New Roman" w:eastAsia="宋体" w:cs="Times New Roman"/>
          <w:sz w:val="21"/>
        </w:rPr>
        <w:t>值为</w:t>
      </w:r>
      <w:r>
        <w:rPr>
          <w:rFonts w:ascii="Times New Roman" w:hAnsi="Times New Roman" w:eastAsia="宋体" w:cs="Times New Roman"/>
          <w:sz w:val="21"/>
        </w:rPr>
        <w:t xml:space="preserve"> </w:t>
      </w:r>
      <w:r>
        <w:rPr>
          <w:rFonts w:hint="eastAsia" w:ascii="Times New Roman" w:hAnsi="Times New Roman" w:eastAsia="宋体" w:cs="Times New Roman"/>
          <w:sz w:val="21"/>
        </w:rPr>
        <w:t>3.03，p</w:t>
      </w:r>
      <w:r>
        <w:rPr>
          <w:rFonts w:ascii="Times New Roman" w:hAnsi="Times New Roman" w:eastAsia="宋体" w:cs="Times New Roman"/>
          <w:sz w:val="21"/>
        </w:rPr>
        <w:t xml:space="preserve"> </w:t>
      </w:r>
      <w:r>
        <w:rPr>
          <w:rFonts w:hint="eastAsia" w:ascii="Times New Roman" w:hAnsi="Times New Roman" w:eastAsia="宋体" w:cs="Times New Roman"/>
          <w:sz w:val="21"/>
        </w:rPr>
        <w:t>值为</w:t>
      </w:r>
      <w:r>
        <w:rPr>
          <w:rFonts w:ascii="Times New Roman" w:hAnsi="Times New Roman" w:eastAsia="宋体" w:cs="Times New Roman"/>
          <w:sz w:val="21"/>
        </w:rPr>
        <w:t xml:space="preserve"> </w:t>
      </w:r>
      <w:r>
        <w:rPr>
          <w:rFonts w:hint="eastAsia" w:ascii="Times New Roman" w:hAnsi="Times New Roman" w:eastAsia="宋体" w:cs="Times New Roman"/>
          <w:sz w:val="21"/>
        </w:rPr>
        <w:t>0.0485，在</w:t>
      </w:r>
      <w:r>
        <w:rPr>
          <w:rFonts w:ascii="Times New Roman" w:hAnsi="Times New Roman" w:eastAsia="宋体" w:cs="Times New Roman"/>
          <w:sz w:val="21"/>
        </w:rPr>
        <w:t xml:space="preserve"> 5% </w:t>
      </w:r>
      <w:r>
        <w:rPr>
          <w:rFonts w:hint="eastAsia" w:ascii="Times New Roman" w:hAnsi="Times New Roman" w:eastAsia="宋体" w:cs="Times New Roman"/>
          <w:sz w:val="21"/>
        </w:rPr>
        <w:t>水平上显著。这说明真实购买占比整体上会对增量信息密度与销量之间的非线性关系产生一定调节作用。</w:t>
      </w:r>
    </w:p>
    <w:p w14:paraId="34120076">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ascii="Times New Roman" w:hAnsi="Times New Roman" w:eastAsia="宋体" w:cs="Times New Roman"/>
          <w:sz w:val="21"/>
        </w:rPr>
      </w:pPr>
      <w:r>
        <w:rPr>
          <w:rFonts w:hint="eastAsia" w:ascii="Times New Roman" w:hAnsi="Times New Roman" w:eastAsia="宋体" w:cs="Times New Roman"/>
          <w:sz w:val="21"/>
        </w:rPr>
        <w:t>这一结果表明，真实购买标识能够在一定程度上增强评论信息的可信度。当评论中有效增量信息来自真实购买者时，消费者更可能将其视为真实使用经验，而不是商家包装或虚假营销。因此，H3</w:t>
      </w:r>
      <w:r>
        <w:rPr>
          <w:rFonts w:ascii="Times New Roman" w:hAnsi="Times New Roman" w:eastAsia="宋体" w:cs="Times New Roman"/>
          <w:sz w:val="21"/>
        </w:rPr>
        <w:t xml:space="preserve"> </w:t>
      </w:r>
      <w:r>
        <w:rPr>
          <w:rFonts w:hint="eastAsia" w:ascii="Times New Roman" w:hAnsi="Times New Roman" w:eastAsia="宋体" w:cs="Times New Roman"/>
          <w:sz w:val="21"/>
        </w:rPr>
        <w:t>在主样本中获得一定支持。但需要注意的是，交互项单独显著性较弱，且</w:t>
      </w:r>
      <w:r>
        <w:rPr>
          <w:rFonts w:ascii="Times New Roman" w:hAnsi="Times New Roman" w:eastAsia="宋体" w:cs="Times New Roman"/>
          <w:sz w:val="21"/>
        </w:rPr>
        <w:t xml:space="preserve"> buy_ratio </w:t>
      </w:r>
      <w:r>
        <w:rPr>
          <w:rFonts w:hint="eastAsia" w:ascii="Times New Roman" w:hAnsi="Times New Roman" w:eastAsia="宋体" w:cs="Times New Roman"/>
          <w:sz w:val="21"/>
        </w:rPr>
        <w:t>的分布较为集中，大量商品的真实购买占比较高，这可能削弱了其解释力。因此，对</w:t>
      </w:r>
      <w:r>
        <w:rPr>
          <w:rFonts w:ascii="Times New Roman" w:hAnsi="Times New Roman" w:eastAsia="宋体" w:cs="Times New Roman"/>
          <w:sz w:val="21"/>
        </w:rPr>
        <w:t xml:space="preserve"> H3 </w:t>
      </w:r>
      <w:r>
        <w:rPr>
          <w:rFonts w:hint="eastAsia" w:ascii="Times New Roman" w:hAnsi="Times New Roman" w:eastAsia="宋体" w:cs="Times New Roman"/>
          <w:sz w:val="21"/>
        </w:rPr>
        <w:t>的结论应保持谨慎。</w:t>
      </w:r>
    </w:p>
    <w:p w14:paraId="00FFACCD">
      <w:pPr>
        <w:pStyle w:val="6"/>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4</w:t>
      </w:r>
      <w:r>
        <w:rPr>
          <w:rFonts w:ascii="Times New Roman" w:hAnsi="Times New Roman" w:eastAsia="宋体" w:cs="Times New Roman"/>
          <w:b/>
          <w:bCs/>
          <w:sz w:val="21"/>
          <w:szCs w:val="21"/>
        </w:rPr>
        <w:t xml:space="preserve">.5 </w:t>
      </w:r>
      <w:r>
        <w:rPr>
          <w:rFonts w:hint="eastAsia" w:ascii="Times New Roman" w:hAnsi="Times New Roman" w:eastAsia="宋体" w:cs="Times New Roman"/>
          <w:b/>
          <w:bCs/>
          <w:sz w:val="21"/>
          <w:szCs w:val="21"/>
        </w:rPr>
        <w:t>价格异质性的调节作用</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11"/>
        <w:gridCol w:w="1728"/>
      </w:tblGrid>
      <w:tr w14:paraId="77B93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single" w:color="auto" w:sz="6" w:space="0"/>
              <w:left w:val="nil"/>
              <w:bottom w:val="nil"/>
              <w:right w:val="nil"/>
              <w:tl2br w:val="nil"/>
              <w:tr2bl w:val="nil"/>
            </w:tcBorders>
            <w:noWrap w:val="0"/>
            <w:vAlign w:val="top"/>
          </w:tcPr>
          <w:p w14:paraId="715652E9">
            <w:pPr>
              <w:spacing w:beforeLines="0" w:after="0" w:afterLines="0"/>
              <w:jc w:val="left"/>
              <w:rPr>
                <w:rFonts w:hint="default" w:ascii="Times New Roman" w:hAnsi="Times New Roman" w:eastAsia="宋体" w:cs="Times New Roman"/>
                <w:kern w:val="2"/>
                <w:sz w:val="24"/>
                <w:szCs w:val="24"/>
              </w:rPr>
            </w:pPr>
          </w:p>
        </w:tc>
        <w:tc>
          <w:tcPr>
            <w:tcW w:w="1728" w:type="dxa"/>
            <w:tcBorders>
              <w:top w:val="single" w:color="auto" w:sz="6" w:space="0"/>
              <w:left w:val="nil"/>
              <w:bottom w:val="nil"/>
              <w:right w:val="nil"/>
              <w:tl2br w:val="nil"/>
              <w:tr2bl w:val="nil"/>
            </w:tcBorders>
            <w:noWrap w:val="0"/>
            <w:vAlign w:val="top"/>
          </w:tcPr>
          <w:p w14:paraId="727F8B9A">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w:t>
            </w:r>
          </w:p>
        </w:tc>
      </w:tr>
      <w:tr w14:paraId="5D970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single" w:color="auto" w:sz="6" w:space="0"/>
              <w:right w:val="nil"/>
              <w:tl2br w:val="nil"/>
              <w:tr2bl w:val="nil"/>
            </w:tcBorders>
            <w:noWrap w:val="0"/>
            <w:vAlign w:val="top"/>
          </w:tcPr>
          <w:p w14:paraId="754B2E09">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VARIABLES</w:t>
            </w:r>
          </w:p>
        </w:tc>
        <w:tc>
          <w:tcPr>
            <w:tcW w:w="1728" w:type="dxa"/>
            <w:tcBorders>
              <w:top w:val="nil"/>
              <w:left w:val="nil"/>
              <w:bottom w:val="single" w:color="auto" w:sz="6" w:space="0"/>
              <w:right w:val="nil"/>
              <w:tl2br w:val="nil"/>
              <w:tr2bl w:val="nil"/>
            </w:tcBorders>
            <w:noWrap w:val="0"/>
            <w:vAlign w:val="top"/>
          </w:tcPr>
          <w:p w14:paraId="3FEF0A11">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log_sales</w:t>
            </w:r>
          </w:p>
        </w:tc>
      </w:tr>
      <w:tr w14:paraId="59896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060BB79D">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19B4F97B">
            <w:pPr>
              <w:spacing w:beforeLines="0" w:after="0" w:afterLines="0"/>
              <w:jc w:val="center"/>
              <w:rPr>
                <w:rFonts w:hint="default" w:ascii="Times New Roman" w:hAnsi="Times New Roman" w:eastAsia="宋体" w:cs="Times New Roman"/>
                <w:kern w:val="2"/>
                <w:sz w:val="24"/>
                <w:szCs w:val="24"/>
              </w:rPr>
            </w:pPr>
          </w:p>
        </w:tc>
      </w:tr>
      <w:tr w14:paraId="20E8D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1CCEC5B2">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c_incre</w:t>
            </w:r>
          </w:p>
        </w:tc>
        <w:tc>
          <w:tcPr>
            <w:tcW w:w="1728" w:type="dxa"/>
            <w:tcBorders>
              <w:top w:val="nil"/>
              <w:left w:val="nil"/>
              <w:bottom w:val="nil"/>
              <w:right w:val="nil"/>
              <w:tl2br w:val="nil"/>
              <w:tr2bl w:val="nil"/>
            </w:tcBorders>
            <w:noWrap w:val="0"/>
            <w:vAlign w:val="top"/>
          </w:tcPr>
          <w:p w14:paraId="5DEF7354">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2.3227***</w:t>
            </w:r>
          </w:p>
        </w:tc>
      </w:tr>
      <w:tr w14:paraId="54FEE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189E6664">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1C109BCD">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(0.3327)</w:t>
            </w:r>
          </w:p>
        </w:tc>
      </w:tr>
      <w:tr w14:paraId="29E3C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21B8E330">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c_incre_sq</w:t>
            </w:r>
          </w:p>
        </w:tc>
        <w:tc>
          <w:tcPr>
            <w:tcW w:w="1728" w:type="dxa"/>
            <w:tcBorders>
              <w:top w:val="nil"/>
              <w:left w:val="nil"/>
              <w:bottom w:val="nil"/>
              <w:right w:val="nil"/>
              <w:tl2br w:val="nil"/>
              <w:tr2bl w:val="nil"/>
            </w:tcBorders>
            <w:noWrap w:val="0"/>
            <w:vAlign w:val="top"/>
          </w:tcPr>
          <w:p w14:paraId="42C99BD6">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-20.5800***</w:t>
            </w:r>
          </w:p>
        </w:tc>
      </w:tr>
      <w:tr w14:paraId="58231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260F4879">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5A3993E7">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(3.1735)</w:t>
            </w:r>
          </w:p>
        </w:tc>
      </w:tr>
      <w:tr w14:paraId="294B4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1EEF3C09">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low_price</w:t>
            </w:r>
          </w:p>
        </w:tc>
        <w:tc>
          <w:tcPr>
            <w:tcW w:w="1728" w:type="dxa"/>
            <w:tcBorders>
              <w:top w:val="nil"/>
              <w:left w:val="nil"/>
              <w:bottom w:val="nil"/>
              <w:right w:val="nil"/>
              <w:tl2br w:val="nil"/>
              <w:tr2bl w:val="nil"/>
            </w:tcBorders>
            <w:noWrap w:val="0"/>
            <w:vAlign w:val="top"/>
          </w:tcPr>
          <w:p w14:paraId="030D6FBB">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-0.0134</w:t>
            </w:r>
          </w:p>
        </w:tc>
      </w:tr>
      <w:tr w14:paraId="02F99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3638C370">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6BBB3C57">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(0.0390)</w:t>
            </w:r>
          </w:p>
        </w:tc>
      </w:tr>
      <w:tr w14:paraId="14D8B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5250FB20">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high_price</w:t>
            </w:r>
          </w:p>
        </w:tc>
        <w:tc>
          <w:tcPr>
            <w:tcW w:w="1728" w:type="dxa"/>
            <w:tcBorders>
              <w:top w:val="nil"/>
              <w:left w:val="nil"/>
              <w:bottom w:val="nil"/>
              <w:right w:val="nil"/>
              <w:tl2br w:val="nil"/>
              <w:tr2bl w:val="nil"/>
            </w:tcBorders>
            <w:noWrap w:val="0"/>
            <w:vAlign w:val="top"/>
          </w:tcPr>
          <w:p w14:paraId="59C1F18C">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-0.1281***</w:t>
            </w:r>
          </w:p>
        </w:tc>
      </w:tr>
      <w:tr w14:paraId="05E3C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2C8B4E14">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3BD00E6E">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(0.0375)</w:t>
            </w:r>
          </w:p>
        </w:tc>
      </w:tr>
      <w:tr w14:paraId="2D11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561BEF2B">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low_incre</w:t>
            </w:r>
          </w:p>
        </w:tc>
        <w:tc>
          <w:tcPr>
            <w:tcW w:w="1728" w:type="dxa"/>
            <w:tcBorders>
              <w:top w:val="nil"/>
              <w:left w:val="nil"/>
              <w:bottom w:val="nil"/>
              <w:right w:val="nil"/>
              <w:tl2br w:val="nil"/>
              <w:tr2bl w:val="nil"/>
            </w:tcBorders>
            <w:noWrap w:val="0"/>
            <w:vAlign w:val="top"/>
          </w:tcPr>
          <w:p w14:paraId="13F56757">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0.2044</w:t>
            </w:r>
          </w:p>
        </w:tc>
      </w:tr>
      <w:tr w14:paraId="1DDAE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7696F1B3">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0739DF28">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(0.4212)</w:t>
            </w:r>
          </w:p>
        </w:tc>
      </w:tr>
      <w:tr w14:paraId="542DF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3B706CAF">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high_incre</w:t>
            </w:r>
          </w:p>
        </w:tc>
        <w:tc>
          <w:tcPr>
            <w:tcW w:w="1728" w:type="dxa"/>
            <w:tcBorders>
              <w:top w:val="nil"/>
              <w:left w:val="nil"/>
              <w:bottom w:val="nil"/>
              <w:right w:val="nil"/>
              <w:tl2br w:val="nil"/>
              <w:tr2bl w:val="nil"/>
            </w:tcBorders>
            <w:noWrap w:val="0"/>
            <w:vAlign w:val="top"/>
          </w:tcPr>
          <w:p w14:paraId="26611C95">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-0.4135</w:t>
            </w:r>
          </w:p>
        </w:tc>
      </w:tr>
      <w:tr w14:paraId="6AF8E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55678D31">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5C97E4F0">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(0.4204)</w:t>
            </w:r>
          </w:p>
        </w:tc>
      </w:tr>
      <w:tr w14:paraId="4D650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78AA6C0E">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low_incre_sq</w:t>
            </w:r>
          </w:p>
        </w:tc>
        <w:tc>
          <w:tcPr>
            <w:tcW w:w="1728" w:type="dxa"/>
            <w:tcBorders>
              <w:top w:val="nil"/>
              <w:left w:val="nil"/>
              <w:bottom w:val="nil"/>
              <w:right w:val="nil"/>
              <w:tl2br w:val="nil"/>
              <w:tr2bl w:val="nil"/>
            </w:tcBorders>
            <w:noWrap w:val="0"/>
            <w:vAlign w:val="top"/>
          </w:tcPr>
          <w:p w14:paraId="07AD47C2">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1.5695</w:t>
            </w:r>
          </w:p>
        </w:tc>
      </w:tr>
      <w:tr w14:paraId="7E0B8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44485E5A">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2FC51B8A">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(3.7386)</w:t>
            </w:r>
          </w:p>
        </w:tc>
      </w:tr>
      <w:tr w14:paraId="5CC74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362425B5">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high_incre_sq</w:t>
            </w:r>
          </w:p>
        </w:tc>
        <w:tc>
          <w:tcPr>
            <w:tcW w:w="1728" w:type="dxa"/>
            <w:tcBorders>
              <w:top w:val="nil"/>
              <w:left w:val="nil"/>
              <w:bottom w:val="nil"/>
              <w:right w:val="nil"/>
              <w:tl2br w:val="nil"/>
              <w:tr2bl w:val="nil"/>
            </w:tcBorders>
            <w:noWrap w:val="0"/>
            <w:vAlign w:val="top"/>
          </w:tcPr>
          <w:p w14:paraId="1ED6BD8F">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5.4851</w:t>
            </w:r>
          </w:p>
        </w:tc>
      </w:tr>
      <w:tr w14:paraId="49BD0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0773A810">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5C373DF8">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(3.7861)</w:t>
            </w:r>
          </w:p>
        </w:tc>
      </w:tr>
      <w:tr w14:paraId="7954C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3C77FCD6">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mean_rating</w:t>
            </w:r>
          </w:p>
        </w:tc>
        <w:tc>
          <w:tcPr>
            <w:tcW w:w="1728" w:type="dxa"/>
            <w:tcBorders>
              <w:top w:val="nil"/>
              <w:left w:val="nil"/>
              <w:bottom w:val="nil"/>
              <w:right w:val="nil"/>
              <w:tl2br w:val="nil"/>
              <w:tr2bl w:val="nil"/>
            </w:tcBorders>
            <w:noWrap w:val="0"/>
            <w:vAlign w:val="top"/>
          </w:tcPr>
          <w:p w14:paraId="281FFAAD">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-0.0046</w:t>
            </w:r>
          </w:p>
        </w:tc>
      </w:tr>
      <w:tr w14:paraId="57BF4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118D5601">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1A9D984C">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(0.0133)</w:t>
            </w:r>
          </w:p>
        </w:tc>
      </w:tr>
      <w:tr w14:paraId="0B082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79C683E9">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mean_user_activity</w:t>
            </w:r>
          </w:p>
        </w:tc>
        <w:tc>
          <w:tcPr>
            <w:tcW w:w="1728" w:type="dxa"/>
            <w:tcBorders>
              <w:top w:val="nil"/>
              <w:left w:val="nil"/>
              <w:bottom w:val="nil"/>
              <w:right w:val="nil"/>
              <w:tl2br w:val="nil"/>
              <w:tr2bl w:val="nil"/>
            </w:tcBorders>
            <w:noWrap w:val="0"/>
            <w:vAlign w:val="top"/>
          </w:tcPr>
          <w:p w14:paraId="0AB04F2D">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-0.0173</w:t>
            </w:r>
          </w:p>
        </w:tc>
      </w:tr>
      <w:tr w14:paraId="5E148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76225E85">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75C9984D">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(0.0135)</w:t>
            </w:r>
          </w:p>
        </w:tc>
      </w:tr>
      <w:tr w14:paraId="333D0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1A9B6A38">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Constant</w:t>
            </w:r>
          </w:p>
        </w:tc>
        <w:tc>
          <w:tcPr>
            <w:tcW w:w="1728" w:type="dxa"/>
            <w:tcBorders>
              <w:top w:val="nil"/>
              <w:left w:val="nil"/>
              <w:bottom w:val="nil"/>
              <w:right w:val="nil"/>
              <w:tl2br w:val="nil"/>
              <w:tr2bl w:val="nil"/>
            </w:tcBorders>
            <w:noWrap w:val="0"/>
            <w:vAlign w:val="top"/>
          </w:tcPr>
          <w:p w14:paraId="610E6495">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2.3803***</w:t>
            </w:r>
          </w:p>
        </w:tc>
      </w:tr>
      <w:tr w14:paraId="1224B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6F6C7634">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5FDC5B35">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(0.0631)</w:t>
            </w:r>
          </w:p>
        </w:tc>
      </w:tr>
      <w:tr w14:paraId="6126C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272739CA">
            <w:pPr>
              <w:spacing w:beforeLines="0" w:after="0" w:afterLines="0"/>
              <w:jc w:val="left"/>
              <w:rPr>
                <w:rFonts w:hint="default" w:ascii="Times New Roman" w:hAnsi="Times New Roman" w:eastAsia="宋体" w:cs="Times New Roman"/>
                <w:kern w:val="2"/>
                <w:sz w:val="24"/>
                <w:szCs w:val="24"/>
              </w:rPr>
            </w:pPr>
          </w:p>
        </w:tc>
        <w:tc>
          <w:tcPr>
            <w:tcW w:w="1728" w:type="dxa"/>
            <w:tcBorders>
              <w:top w:val="nil"/>
              <w:left w:val="nil"/>
              <w:bottom w:val="nil"/>
              <w:right w:val="nil"/>
              <w:tl2br w:val="nil"/>
              <w:tr2bl w:val="nil"/>
            </w:tcBorders>
            <w:noWrap w:val="0"/>
            <w:vAlign w:val="top"/>
          </w:tcPr>
          <w:p w14:paraId="39BEC16C">
            <w:pPr>
              <w:spacing w:beforeLines="0" w:after="0" w:afterLines="0"/>
              <w:jc w:val="center"/>
              <w:rPr>
                <w:rFonts w:hint="default" w:ascii="Times New Roman" w:hAnsi="Times New Roman" w:eastAsia="宋体" w:cs="Times New Roman"/>
                <w:kern w:val="2"/>
                <w:sz w:val="24"/>
                <w:szCs w:val="24"/>
              </w:rPr>
            </w:pPr>
          </w:p>
        </w:tc>
      </w:tr>
      <w:tr w14:paraId="1D1AE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nil"/>
              <w:right w:val="nil"/>
              <w:tl2br w:val="nil"/>
              <w:tr2bl w:val="nil"/>
            </w:tcBorders>
            <w:noWrap w:val="0"/>
            <w:vAlign w:val="top"/>
          </w:tcPr>
          <w:p w14:paraId="0E4681DF">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Observations</w:t>
            </w:r>
          </w:p>
        </w:tc>
        <w:tc>
          <w:tcPr>
            <w:tcW w:w="1728" w:type="dxa"/>
            <w:tcBorders>
              <w:top w:val="nil"/>
              <w:left w:val="nil"/>
              <w:bottom w:val="nil"/>
              <w:right w:val="nil"/>
              <w:tl2br w:val="nil"/>
              <w:tr2bl w:val="nil"/>
            </w:tcBorders>
            <w:noWrap w:val="0"/>
            <w:vAlign w:val="top"/>
          </w:tcPr>
          <w:p w14:paraId="2196B8B1">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8,152</w:t>
            </w:r>
          </w:p>
        </w:tc>
      </w:tr>
      <w:tr w14:paraId="61F048F2">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1" w:type="dxa"/>
            <w:tcBorders>
              <w:top w:val="nil"/>
              <w:left w:val="nil"/>
              <w:bottom w:val="single" w:color="auto" w:sz="6" w:space="0"/>
              <w:right w:val="nil"/>
              <w:tl2br w:val="nil"/>
              <w:tr2bl w:val="nil"/>
            </w:tcBorders>
            <w:noWrap w:val="0"/>
            <w:vAlign w:val="top"/>
          </w:tcPr>
          <w:p w14:paraId="104EC81D">
            <w:pPr>
              <w:spacing w:beforeLines="0" w:after="0" w:afterLine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R-squared</w:t>
            </w:r>
          </w:p>
        </w:tc>
        <w:tc>
          <w:tcPr>
            <w:tcW w:w="1728" w:type="dxa"/>
            <w:tcBorders>
              <w:top w:val="nil"/>
              <w:left w:val="nil"/>
              <w:bottom w:val="single" w:color="auto" w:sz="6" w:space="0"/>
              <w:right w:val="nil"/>
              <w:tl2br w:val="nil"/>
              <w:tr2bl w:val="nil"/>
            </w:tcBorders>
            <w:noWrap w:val="0"/>
            <w:vAlign w:val="top"/>
          </w:tcPr>
          <w:p w14:paraId="763A4C8E">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0.0601</w:t>
            </w:r>
          </w:p>
        </w:tc>
      </w:tr>
    </w:tbl>
    <w:p w14:paraId="241EBE1E">
      <w:pPr>
        <w:spacing w:beforeLines="0" w:after="0" w:afterLines="0"/>
        <w:jc w:val="both"/>
        <w:rPr>
          <w:rFonts w:hint="default" w:ascii="Times New Roman" w:hAnsi="Times New Roman" w:eastAsia="宋体" w:cs="Times New Roman"/>
          <w:kern w:val="2"/>
          <w:sz w:val="24"/>
          <w:szCs w:val="24"/>
        </w:rPr>
      </w:pPr>
    </w:p>
    <w:p w14:paraId="14313EBB">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Robust standard errors in parentheses</w:t>
      </w:r>
    </w:p>
    <w:p w14:paraId="6045C159">
      <w:pPr>
        <w:spacing w:beforeLines="0" w:after="0" w:afterLines="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p&lt;0.01, ** p&lt;0.05, * p&lt;0.1</w:t>
      </w:r>
    </w:p>
    <w:p w14:paraId="6BB237A8">
      <w:pPr>
        <w:pStyle w:val="5"/>
        <w:jc w:val="center"/>
        <w:rPr>
          <w:rFonts w:hint="eastAsia" w:ascii="宋体" w:hAnsi="宋体" w:eastAsia="宋体" w:cs="宋体"/>
          <w:b/>
          <w:bCs/>
          <w:i w:val="0"/>
          <w:iCs/>
          <w:sz w:val="21"/>
          <w:szCs w:val="21"/>
        </w:rPr>
      </w:pPr>
    </w:p>
    <w:p w14:paraId="178B70E5">
      <w:pPr>
        <w:pStyle w:val="5"/>
        <w:jc w:val="center"/>
        <w:rPr>
          <w:rFonts w:hint="eastAsia" w:ascii="宋体" w:hAnsi="宋体" w:eastAsia="宋体" w:cs="宋体"/>
          <w:b/>
          <w:bCs/>
          <w:i w:val="0"/>
          <w:iCs/>
          <w:sz w:val="15"/>
          <w:szCs w:val="15"/>
          <w:lang w:eastAsia="zh-CN"/>
        </w:rPr>
      </w:pPr>
      <w:r>
        <w:rPr>
          <w:rFonts w:hint="eastAsia" w:ascii="宋体" w:hAnsi="宋体" w:eastAsia="宋体" w:cs="宋体"/>
          <w:b/>
          <w:bCs/>
          <w:i w:val="0"/>
          <w:iCs/>
          <w:sz w:val="15"/>
          <w:szCs w:val="15"/>
        </w:rPr>
        <w:t xml:space="preserve">表 </w:t>
      </w:r>
      <w:r>
        <w:rPr>
          <w:rFonts w:hint="eastAsia" w:ascii="宋体" w:hAnsi="宋体" w:eastAsia="宋体" w:cs="宋体"/>
          <w:b/>
          <w:bCs/>
          <w:i w:val="0"/>
          <w:iCs/>
          <w:sz w:val="15"/>
          <w:szCs w:val="15"/>
          <w:lang w:val="en-US" w:eastAsia="zh-CN"/>
        </w:rPr>
        <w:t>6</w:t>
      </w:r>
      <w:r>
        <w:rPr>
          <w:rFonts w:hint="eastAsia" w:ascii="宋体" w:hAnsi="宋体" w:eastAsia="宋体" w:cs="宋体"/>
          <w:b/>
          <w:bCs/>
          <w:i w:val="0"/>
          <w:iCs/>
          <w:sz w:val="15"/>
          <w:szCs w:val="15"/>
          <w:lang w:eastAsia="zh-CN"/>
        </w:rPr>
        <w:t xml:space="preserve"> 价格异质性的调节效应</w:t>
      </w:r>
    </w:p>
    <w:p w14:paraId="7EBBEE06">
      <w:pPr>
        <w:spacing w:beforeLines="0" w:after="0" w:afterLines="0"/>
        <w:jc w:val="center"/>
        <w:rPr>
          <w:rFonts w:hint="default" w:ascii="Times New Roman" w:hAnsi="Times New Roman" w:eastAsia="宋体" w:cs="Times New Roman"/>
          <w:kern w:val="2"/>
          <w:sz w:val="24"/>
          <w:szCs w:val="24"/>
        </w:rPr>
      </w:pPr>
    </w:p>
    <w:p w14:paraId="1E701271">
      <w:pPr>
        <w:spacing w:beforeLines="0" w:after="0" w:afterLines="0"/>
        <w:jc w:val="center"/>
        <w:rPr>
          <w:rFonts w:hint="eastAsia" w:ascii="Times New Roman" w:hAnsi="Times New Roman" w:eastAsia="宋体" w:cs="Times New Roman"/>
          <w:kern w:val="2"/>
          <w:sz w:val="24"/>
          <w:szCs w:val="24"/>
        </w:rPr>
      </w:pPr>
    </w:p>
    <w:p w14:paraId="1D1ED2A8">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hint="eastAsia" w:ascii="Times New Roman" w:hAnsi="Times New Roman" w:eastAsia="宋体" w:cs="Times New Roman"/>
          <w:sz w:val="21"/>
        </w:rPr>
      </w:pPr>
      <w:r>
        <w:rPr>
          <w:rFonts w:hint="eastAsia" w:ascii="Times New Roman" w:hAnsi="Times New Roman" w:eastAsia="宋体" w:cs="Times New Roman"/>
          <w:sz w:val="21"/>
        </w:rPr>
        <w:t>从表</w:t>
      </w:r>
      <w:r>
        <w:rPr>
          <w:rFonts w:hint="eastAsia" w:ascii="Times New Roman" w:hAnsi="Times New Roman" w:eastAsia="宋体" w:cs="Times New Roman"/>
          <w:sz w:val="21"/>
          <w:lang w:val="en-US" w:eastAsia="zh-CN"/>
        </w:rPr>
        <w:t>6</w:t>
      </w:r>
      <w:r>
        <w:rPr>
          <w:rFonts w:hint="eastAsia" w:ascii="Times New Roman" w:hAnsi="Times New Roman" w:eastAsia="宋体" w:cs="Times New Roman"/>
          <w:sz w:val="21"/>
        </w:rPr>
        <w:t>可以看出，c_incre 的系数为 2.3227，并在 1% 水平上显著；c_incre_sq 的系数为 -20.5800，也在 1% 水平上显著。这说明在考虑价格分组及其与一次项和平方项的交互后，增量信息密度与销量之间的倒U型关系依然成立。</w:t>
      </w:r>
    </w:p>
    <w:p w14:paraId="1530C6B2">
      <w:pPr>
        <w:pStyle w:val="6"/>
        <w:keepNext w:val="0"/>
        <w:keepLines w:val="0"/>
        <w:pageBreakBefore w:val="0"/>
        <w:widowControl/>
        <w:kinsoku/>
        <w:wordWrap/>
        <w:overflowPunct/>
        <w:topLinePunct w:val="0"/>
        <w:autoSpaceDE/>
        <w:autoSpaceDN/>
        <w:bidi w:val="0"/>
        <w:adjustRightInd/>
        <w:snapToGrid/>
        <w:spacing w:before="0" w:after="0" w:line="360" w:lineRule="auto"/>
        <w:jc w:val="left"/>
        <w:textAlignment w:val="auto"/>
        <w:rPr>
          <w:rFonts w:ascii="Times New Roman" w:hAnsi="Times New Roman" w:eastAsia="宋体" w:cs="Times New Roman"/>
          <w:sz w:val="21"/>
        </w:rPr>
      </w:pPr>
      <w:r>
        <w:rPr>
          <w:rFonts w:hint="eastAsia" w:ascii="Times New Roman" w:hAnsi="Times New Roman" w:eastAsia="宋体" w:cs="Times New Roman"/>
          <w:sz w:val="21"/>
        </w:rPr>
        <w:t>价格组别变量方面，high_price</w:t>
      </w:r>
      <w:r>
        <w:rPr>
          <w:rFonts w:ascii="Times New Roman" w:hAnsi="Times New Roman" w:eastAsia="宋体" w:cs="Times New Roman"/>
          <w:sz w:val="21"/>
        </w:rPr>
        <w:t xml:space="preserve"> </w:t>
      </w:r>
      <w:r>
        <w:rPr>
          <w:rFonts w:hint="eastAsia" w:ascii="Times New Roman" w:hAnsi="Times New Roman" w:eastAsia="宋体" w:cs="Times New Roman"/>
          <w:sz w:val="21"/>
        </w:rPr>
        <w:t>的系数为</w:t>
      </w:r>
      <w:r>
        <w:rPr>
          <w:rFonts w:ascii="Times New Roman" w:hAnsi="Times New Roman" w:eastAsia="宋体" w:cs="Times New Roman"/>
          <w:sz w:val="21"/>
        </w:rPr>
        <w:t xml:space="preserve"> </w:t>
      </w:r>
      <w:r>
        <w:rPr>
          <w:rFonts w:hint="eastAsia" w:ascii="Times New Roman" w:hAnsi="Times New Roman" w:eastAsia="宋体" w:cs="Times New Roman"/>
          <w:sz w:val="21"/>
        </w:rPr>
        <w:t>-0.</w:t>
      </w:r>
      <w:r>
        <w:rPr>
          <w:rFonts w:hint="eastAsia" w:ascii="Times New Roman" w:hAnsi="Times New Roman" w:eastAsia="宋体" w:cs="Times New Roman"/>
          <w:sz w:val="21"/>
          <w:lang w:val="en-US" w:eastAsia="zh-CN"/>
        </w:rPr>
        <w:t>1281</w:t>
      </w:r>
      <w:r>
        <w:rPr>
          <w:rFonts w:hint="eastAsia" w:ascii="Times New Roman" w:hAnsi="Times New Roman" w:eastAsia="宋体" w:cs="Times New Roman"/>
          <w:sz w:val="21"/>
        </w:rPr>
        <w:t>，并在</w:t>
      </w:r>
      <w:r>
        <w:rPr>
          <w:rFonts w:ascii="Times New Roman" w:hAnsi="Times New Roman" w:eastAsia="宋体" w:cs="Times New Roman"/>
          <w:sz w:val="21"/>
        </w:rPr>
        <w:t xml:space="preserve"> 1% </w:t>
      </w:r>
      <w:r>
        <w:rPr>
          <w:rFonts w:hint="eastAsia" w:ascii="Times New Roman" w:hAnsi="Times New Roman" w:eastAsia="宋体" w:cs="Times New Roman"/>
          <w:sz w:val="21"/>
        </w:rPr>
        <w:t>水平上显著，说明相对于中价商品，高价商品的销量水平显著较低。这符合一般消费逻辑，即高价格会提高消费者购买门槛，从而降低销量。low_price</w:t>
      </w:r>
      <w:r>
        <w:rPr>
          <w:rFonts w:ascii="Times New Roman" w:hAnsi="Times New Roman" w:eastAsia="宋体" w:cs="Times New Roman"/>
          <w:sz w:val="21"/>
        </w:rPr>
        <w:t xml:space="preserve"> </w:t>
      </w:r>
      <w:r>
        <w:rPr>
          <w:rFonts w:hint="eastAsia" w:ascii="Times New Roman" w:hAnsi="Times New Roman" w:eastAsia="宋体" w:cs="Times New Roman"/>
          <w:sz w:val="21"/>
        </w:rPr>
        <w:t>的系数</w:t>
      </w:r>
      <w:r>
        <w:rPr>
          <w:rFonts w:hint="eastAsia" w:ascii="Times New Roman" w:hAnsi="Times New Roman" w:eastAsia="宋体" w:cs="Times New Roman"/>
          <w:sz w:val="21"/>
          <w:lang w:val="en-US" w:eastAsia="zh-CN"/>
        </w:rPr>
        <w:t>为-0.0134，</w:t>
      </w:r>
      <w:r>
        <w:rPr>
          <w:rFonts w:hint="eastAsia" w:ascii="Times New Roman" w:hAnsi="Times New Roman" w:eastAsia="宋体" w:cs="Times New Roman"/>
          <w:sz w:val="21"/>
        </w:rPr>
        <w:t>不显著，说明低价组与中价组之间的销量差异并不明显。</w:t>
      </w:r>
    </w:p>
    <w:p w14:paraId="3BE1CCD0">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hint="eastAsia" w:ascii="Times New Roman" w:hAnsi="Times New Roman" w:eastAsia="宋体" w:cs="Times New Roman"/>
          <w:sz w:val="21"/>
          <w:lang w:val="en-US" w:eastAsia="zh-CN"/>
        </w:rPr>
      </w:pPr>
      <w:r>
        <w:rPr>
          <w:rFonts w:hint="eastAsia" w:ascii="Times New Roman" w:hAnsi="Times New Roman" w:eastAsia="宋体" w:cs="Times New Roman"/>
          <w:sz w:val="21"/>
        </w:rPr>
        <w:t>但是，关键交互项并不显著。</w:t>
      </w:r>
      <w:r>
        <w:rPr>
          <w:rFonts w:hint="eastAsia" w:ascii="Times New Roman" w:hAnsi="Times New Roman" w:eastAsia="宋体" w:cs="Times New Roman"/>
          <w:sz w:val="21"/>
          <w:lang w:val="en-US" w:eastAsia="zh-CN"/>
        </w:rPr>
        <w:t>具体而言，low_incre（低价×一次项）的系数为0.2044（p&gt;0.1），high_incre（高价×一次项）的系数为-0.4135（p&gt;0.1）；low_incre_sq（低价×平方项）的系数为1.5695（p&gt;0.1），high_incre_sq（高价×平方项）的系数为5.4851（p&gt;0.1）。进一步联合检验显示，高价组的整体调节效应（high_incre和high_incre_sq联合）不显著（F=1.09，p=0.3377），低价组整体调节效应亦不显著（F=0.79，p=0.4525）。同时，高价组与低价组在斜率（high_incre = low_incre，F=2.86，p=0.0908）和曲率（high_incre_sq = low_incre_sq，F=1.88，p=0.1708）上均无显著差异。这说明价格并未显著改变增量信息密度对销量的线性或非线性影响。</w:t>
      </w:r>
    </w:p>
    <w:p w14:paraId="0C703022">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ascii="Times New Roman" w:hAnsi="Times New Roman" w:eastAsia="宋体" w:cs="Times New Roman"/>
          <w:sz w:val="21"/>
        </w:rPr>
      </w:pPr>
      <w:r>
        <w:rPr>
          <w:rFonts w:hint="eastAsia" w:ascii="Times New Roman" w:hAnsi="Times New Roman" w:eastAsia="宋体" w:cs="Times New Roman"/>
          <w:sz w:val="21"/>
        </w:rPr>
        <w:t>因此，H4</w:t>
      </w:r>
      <w:r>
        <w:rPr>
          <w:rFonts w:ascii="Times New Roman" w:hAnsi="Times New Roman" w:eastAsia="宋体" w:cs="Times New Roman"/>
          <w:sz w:val="21"/>
        </w:rPr>
        <w:t xml:space="preserve"> </w:t>
      </w:r>
      <w:r>
        <w:rPr>
          <w:rFonts w:hint="eastAsia" w:ascii="Times New Roman" w:hAnsi="Times New Roman" w:eastAsia="宋体" w:cs="Times New Roman"/>
          <w:sz w:val="21"/>
        </w:rPr>
        <w:t>未得到支持。可能原因在于，美妆商品虽然存在价格差异，但消费者对评论信息的依赖并不完全由价格决定。低价美妆商品同样可能涉及肤质适配、致痘风险、妆效自然度等体验问题，因此消费者仍然会关注评论中的具体信息；而高价美妆商品的购买决策可能更多受到品牌声誉、促销活动、主播推荐和消费者原有偏好的影响，评论中的增量信息密度未必表现出更强作用。</w:t>
      </w:r>
    </w:p>
    <w:p w14:paraId="54E70BFA">
      <w:pPr>
        <w:pStyle w:val="6"/>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4</w:t>
      </w:r>
      <w:r>
        <w:rPr>
          <w:rFonts w:ascii="Times New Roman" w:hAnsi="Times New Roman" w:eastAsia="宋体" w:cs="Times New Roman"/>
          <w:b/>
          <w:bCs/>
          <w:sz w:val="21"/>
          <w:szCs w:val="21"/>
        </w:rPr>
        <w:t xml:space="preserve">.6 </w:t>
      </w:r>
      <w:r>
        <w:rPr>
          <w:rFonts w:hint="eastAsia" w:ascii="Times New Roman" w:hAnsi="Times New Roman" w:eastAsia="宋体" w:cs="Times New Roman"/>
          <w:b/>
          <w:bCs/>
          <w:sz w:val="21"/>
          <w:szCs w:val="21"/>
        </w:rPr>
        <w:t>稳健性检验</w:t>
      </w:r>
    </w:p>
    <w:p w14:paraId="701F5204">
      <w:pPr>
        <w:pStyle w:val="6"/>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eastAsia="宋体" w:cs="Times New Roman"/>
          <w:sz w:val="21"/>
        </w:rPr>
      </w:pPr>
      <w:r>
        <w:rPr>
          <w:rFonts w:hint="eastAsia" w:ascii="Times New Roman" w:hAnsi="Times New Roman" w:eastAsia="宋体" w:cs="Times New Roman"/>
          <w:sz w:val="21"/>
        </w:rPr>
        <w:t>为检验主要结论的可靠性，本文进一步采用更严格的样本筛选标准进行稳健性检验。具体而言，仅保留销量不低于</w:t>
      </w:r>
      <w:r>
        <w:rPr>
          <w:rFonts w:ascii="Times New Roman" w:hAnsi="Times New Roman" w:eastAsia="宋体" w:cs="Times New Roman"/>
          <w:sz w:val="21"/>
        </w:rPr>
        <w:t xml:space="preserve"> 10 </w:t>
      </w:r>
      <w:r>
        <w:rPr>
          <w:rFonts w:hint="eastAsia" w:ascii="Times New Roman" w:hAnsi="Times New Roman" w:eastAsia="宋体" w:cs="Times New Roman"/>
          <w:sz w:val="21"/>
        </w:rPr>
        <w:t>的商品，并剔除价格小于等于</w:t>
      </w:r>
      <w:r>
        <w:rPr>
          <w:rFonts w:ascii="Times New Roman" w:hAnsi="Times New Roman" w:eastAsia="宋体" w:cs="Times New Roman"/>
          <w:sz w:val="21"/>
        </w:rPr>
        <w:t xml:space="preserve"> 1 </w:t>
      </w:r>
      <w:r>
        <w:rPr>
          <w:rFonts w:hint="eastAsia" w:ascii="Times New Roman" w:hAnsi="Times New Roman" w:eastAsia="宋体" w:cs="Times New Roman"/>
          <w:sz w:val="21"/>
        </w:rPr>
        <w:t>或大于等于</w:t>
      </w:r>
      <w:r>
        <w:rPr>
          <w:rFonts w:ascii="Times New Roman" w:hAnsi="Times New Roman" w:eastAsia="宋体" w:cs="Times New Roman"/>
          <w:sz w:val="21"/>
        </w:rPr>
        <w:t xml:space="preserve"> 300 </w:t>
      </w:r>
      <w:r>
        <w:rPr>
          <w:rFonts w:hint="eastAsia" w:ascii="Times New Roman" w:hAnsi="Times New Roman" w:eastAsia="宋体" w:cs="Times New Roman"/>
          <w:sz w:val="21"/>
        </w:rPr>
        <w:t>的极端价格商品，最终得到</w:t>
      </w:r>
      <w:r>
        <w:rPr>
          <w:rFonts w:ascii="Times New Roman" w:hAnsi="Times New Roman" w:eastAsia="宋体" w:cs="Times New Roman"/>
          <w:sz w:val="21"/>
        </w:rPr>
        <w:t xml:space="preserve"> 3053 </w:t>
      </w:r>
      <w:r>
        <w:rPr>
          <w:rFonts w:hint="eastAsia" w:ascii="Times New Roman" w:hAnsi="Times New Roman" w:eastAsia="宋体" w:cs="Times New Roman"/>
          <w:sz w:val="21"/>
        </w:rPr>
        <w:t>个商品样本。稳健性检验结果汇总如表</w:t>
      </w:r>
      <w:r>
        <w:rPr>
          <w:rFonts w:ascii="Times New Roman" w:hAnsi="Times New Roman" w:eastAsia="宋体" w:cs="Times New Roman"/>
          <w:sz w:val="21"/>
        </w:rPr>
        <w:t xml:space="preserve"> </w:t>
      </w:r>
      <w:r>
        <w:rPr>
          <w:rFonts w:hint="eastAsia" w:ascii="Times New Roman" w:hAnsi="Times New Roman" w:eastAsia="宋体" w:cs="Times New Roman"/>
          <w:sz w:val="21"/>
          <w:lang w:val="en-US" w:eastAsia="zh-CN"/>
        </w:rPr>
        <w:t>7</w:t>
      </w:r>
      <w:r>
        <w:rPr>
          <w:rFonts w:hint="eastAsia" w:ascii="Times New Roman" w:hAnsi="Times New Roman" w:eastAsia="宋体" w:cs="Times New Roman"/>
          <w:sz w:val="21"/>
        </w:rPr>
        <w:t>所示。</w:t>
      </w:r>
    </w:p>
    <w:tbl>
      <w:tblPr>
        <w:tblStyle w:val="13"/>
        <w:tblW w:w="5126" w:type="pct"/>
        <w:tblInd w:w="-109" w:type="dxa"/>
        <w:tblLayout w:type="fixed"/>
        <w:tblCellMar>
          <w:top w:w="0" w:type="dxa"/>
          <w:left w:w="108" w:type="dxa"/>
          <w:bottom w:w="0" w:type="dxa"/>
          <w:right w:w="108" w:type="dxa"/>
        </w:tblCellMar>
      </w:tblPr>
      <w:tblGrid>
        <w:gridCol w:w="2912"/>
        <w:gridCol w:w="4513"/>
        <w:gridCol w:w="1312"/>
      </w:tblGrid>
      <w:tr w14:paraId="2FA38170">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61681F3E">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sz w:val="21"/>
              </w:rPr>
            </w:pPr>
            <w:r>
              <w:rPr>
                <w:rFonts w:hint="eastAsia" w:ascii="Times New Roman" w:hAnsi="Times New Roman" w:eastAsia="宋体" w:cs="Times New Roman"/>
                <w:sz w:val="21"/>
              </w:rPr>
              <w:t>检验内容</w:t>
            </w:r>
          </w:p>
        </w:tc>
        <w:tc>
          <w:tcPr>
            <w:tcW w:w="2582" w:type="pct"/>
            <w:tcBorders>
              <w:top w:val="single" w:color="auto" w:sz="12" w:space="0"/>
              <w:left w:val="nil"/>
              <w:bottom w:val="nil"/>
              <w:right w:val="nil"/>
            </w:tcBorders>
            <w:noWrap w:val="0"/>
            <w:tcMar>
              <w:top w:w="-1" w:type="dxa"/>
              <w:left w:w="-1" w:type="dxa"/>
              <w:bottom w:w="-1" w:type="dxa"/>
              <w:right w:w="-1" w:type="dxa"/>
            </w:tcMar>
            <w:vAlign w:val="top"/>
          </w:tcPr>
          <w:p w14:paraId="51524380">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sz w:val="21"/>
              </w:rPr>
            </w:pPr>
            <w:r>
              <w:rPr>
                <w:rFonts w:hint="eastAsia" w:ascii="Times New Roman" w:hAnsi="Times New Roman" w:eastAsia="宋体" w:cs="Times New Roman"/>
                <w:sz w:val="21"/>
              </w:rPr>
              <w:t>核心结果</w:t>
            </w:r>
          </w:p>
        </w:tc>
        <w:tc>
          <w:tcPr>
            <w:tcW w:w="750" w:type="pct"/>
            <w:tcBorders>
              <w:top w:val="single" w:color="auto" w:sz="12" w:space="0"/>
              <w:left w:val="nil"/>
              <w:bottom w:val="nil"/>
              <w:right w:val="nil"/>
            </w:tcBorders>
            <w:noWrap w:val="0"/>
            <w:tcMar>
              <w:top w:w="-1" w:type="dxa"/>
              <w:left w:w="-1" w:type="dxa"/>
              <w:bottom w:w="-1" w:type="dxa"/>
              <w:right w:w="-1" w:type="dxa"/>
            </w:tcMar>
            <w:vAlign w:val="top"/>
          </w:tcPr>
          <w:p w14:paraId="46A41BCA">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sz w:val="21"/>
              </w:rPr>
            </w:pPr>
            <w:r>
              <w:rPr>
                <w:rFonts w:hint="eastAsia" w:ascii="Times New Roman" w:hAnsi="Times New Roman" w:eastAsia="宋体" w:cs="Times New Roman"/>
                <w:sz w:val="21"/>
              </w:rPr>
              <w:t>是否稳健</w:t>
            </w:r>
          </w:p>
        </w:tc>
      </w:tr>
      <w:tr w14:paraId="4F72232F">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459E0FFF">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sz w:val="21"/>
              </w:rPr>
            </w:pPr>
            <w:r>
              <w:rPr>
                <w:rFonts w:hint="eastAsia" w:ascii="Times New Roman" w:hAnsi="Times New Roman" w:eastAsia="宋体" w:cs="Times New Roman"/>
                <w:sz w:val="21"/>
              </w:rPr>
              <w:t>H1：增量信息密度倒</w:t>
            </w:r>
            <w:r>
              <w:rPr>
                <w:rFonts w:ascii="Times New Roman" w:hAnsi="Times New Roman" w:eastAsia="宋体" w:cs="Times New Roman"/>
                <w:sz w:val="21"/>
              </w:rPr>
              <w:t xml:space="preserve"> U </w:t>
            </w:r>
            <w:r>
              <w:rPr>
                <w:rFonts w:hint="eastAsia" w:ascii="Times New Roman" w:hAnsi="Times New Roman" w:eastAsia="宋体" w:cs="Times New Roman"/>
                <w:sz w:val="21"/>
              </w:rPr>
              <w:t>型关系</w:t>
            </w:r>
          </w:p>
        </w:tc>
        <w:tc>
          <w:tcPr>
            <w:tcW w:w="2582" w:type="pct"/>
            <w:tcBorders>
              <w:top w:val="single" w:color="auto" w:sz="4" w:space="0"/>
              <w:left w:val="nil"/>
              <w:bottom w:val="nil"/>
              <w:right w:val="nil"/>
            </w:tcBorders>
            <w:noWrap w:val="0"/>
            <w:tcMar>
              <w:top w:w="-1" w:type="dxa"/>
              <w:left w:w="-1" w:type="dxa"/>
              <w:bottom w:w="-1" w:type="dxa"/>
              <w:right w:w="-1" w:type="dxa"/>
            </w:tcMar>
            <w:vAlign w:val="top"/>
          </w:tcPr>
          <w:p w14:paraId="2F2D76E0">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sz w:val="21"/>
              </w:rPr>
            </w:pPr>
            <w:r>
              <w:rPr>
                <w:rFonts w:ascii="Times New Roman" w:hAnsi="Times New Roman" w:eastAsia="宋体" w:cs="Times New Roman"/>
                <w:sz w:val="21"/>
              </w:rPr>
              <w:t xml:space="preserve">mean_incre </w:t>
            </w:r>
            <w:r>
              <w:rPr>
                <w:rFonts w:hint="eastAsia" w:ascii="Times New Roman" w:hAnsi="Times New Roman" w:eastAsia="宋体" w:cs="Times New Roman"/>
                <w:sz w:val="21"/>
              </w:rPr>
              <w:t>显著为正，mean_incre_sq</w:t>
            </w:r>
            <w:r>
              <w:rPr>
                <w:rFonts w:ascii="Times New Roman" w:hAnsi="Times New Roman" w:eastAsia="宋体" w:cs="Times New Roman"/>
                <w:sz w:val="21"/>
              </w:rPr>
              <w:t xml:space="preserve"> </w:t>
            </w:r>
            <w:r>
              <w:rPr>
                <w:rFonts w:hint="eastAsia" w:ascii="Times New Roman" w:hAnsi="Times New Roman" w:eastAsia="宋体" w:cs="Times New Roman"/>
                <w:sz w:val="21"/>
              </w:rPr>
              <w:t>显著为负，拐点约为</w:t>
            </w:r>
            <w:r>
              <w:rPr>
                <w:rFonts w:ascii="Times New Roman" w:hAnsi="Times New Roman" w:eastAsia="宋体" w:cs="Times New Roman"/>
                <w:sz w:val="21"/>
              </w:rPr>
              <w:t xml:space="preserve"> 0.127</w:t>
            </w:r>
          </w:p>
        </w:tc>
        <w:tc>
          <w:tcPr>
            <w:tcW w:w="750" w:type="pct"/>
            <w:tcBorders>
              <w:top w:val="single" w:color="auto" w:sz="4" w:space="0"/>
              <w:left w:val="nil"/>
              <w:bottom w:val="nil"/>
              <w:right w:val="nil"/>
            </w:tcBorders>
            <w:noWrap w:val="0"/>
            <w:tcMar>
              <w:top w:w="-1" w:type="dxa"/>
              <w:left w:w="-1" w:type="dxa"/>
              <w:bottom w:w="-1" w:type="dxa"/>
              <w:right w:w="-1" w:type="dxa"/>
            </w:tcMar>
            <w:vAlign w:val="top"/>
          </w:tcPr>
          <w:p w14:paraId="59005C33">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sz w:val="21"/>
              </w:rPr>
            </w:pPr>
            <w:r>
              <w:rPr>
                <w:rFonts w:hint="eastAsia" w:ascii="Times New Roman" w:hAnsi="Times New Roman" w:eastAsia="宋体" w:cs="Times New Roman"/>
                <w:sz w:val="21"/>
              </w:rPr>
              <w:t>稳健</w:t>
            </w:r>
          </w:p>
        </w:tc>
      </w:tr>
      <w:tr w14:paraId="7722CEA0">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575CF5FC">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sz w:val="21"/>
              </w:rPr>
            </w:pPr>
            <w:r>
              <w:rPr>
                <w:rFonts w:hint="eastAsia" w:ascii="Times New Roman" w:hAnsi="Times New Roman" w:eastAsia="宋体" w:cs="Times New Roman"/>
                <w:sz w:val="21"/>
              </w:rPr>
              <w:t>H2：情感异质性影响</w:t>
            </w:r>
          </w:p>
        </w:tc>
        <w:tc>
          <w:tcPr>
            <w:tcW w:w="2582" w:type="pct"/>
            <w:tcBorders>
              <w:top w:val="nil"/>
              <w:left w:val="nil"/>
              <w:bottom w:val="nil"/>
              <w:right w:val="nil"/>
            </w:tcBorders>
            <w:noWrap w:val="0"/>
            <w:tcMar>
              <w:top w:w="-1" w:type="dxa"/>
              <w:left w:w="-1" w:type="dxa"/>
              <w:bottom w:w="-1" w:type="dxa"/>
              <w:right w:w="-1" w:type="dxa"/>
            </w:tcMar>
            <w:vAlign w:val="top"/>
          </w:tcPr>
          <w:p w14:paraId="5C7FE0C1">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sz w:val="21"/>
              </w:rPr>
            </w:pPr>
            <w:r>
              <w:rPr>
                <w:rFonts w:ascii="Times New Roman" w:hAnsi="Times New Roman" w:eastAsia="宋体" w:cs="Times New Roman"/>
                <w:sz w:val="21"/>
              </w:rPr>
              <w:t xml:space="preserve">total_pos </w:t>
            </w:r>
            <w:r>
              <w:rPr>
                <w:rFonts w:hint="eastAsia" w:ascii="Times New Roman" w:hAnsi="Times New Roman" w:eastAsia="宋体" w:cs="Times New Roman"/>
                <w:sz w:val="21"/>
              </w:rPr>
              <w:t>和</w:t>
            </w:r>
            <w:r>
              <w:rPr>
                <w:rFonts w:ascii="Times New Roman" w:hAnsi="Times New Roman" w:eastAsia="宋体" w:cs="Times New Roman"/>
                <w:sz w:val="21"/>
              </w:rPr>
              <w:t xml:space="preserve"> total_neg </w:t>
            </w:r>
            <w:r>
              <w:rPr>
                <w:rFonts w:hint="eastAsia" w:ascii="Times New Roman" w:hAnsi="Times New Roman" w:eastAsia="宋体" w:cs="Times New Roman"/>
                <w:sz w:val="21"/>
              </w:rPr>
              <w:t>均显著为正</w:t>
            </w:r>
          </w:p>
        </w:tc>
        <w:tc>
          <w:tcPr>
            <w:tcW w:w="750" w:type="pct"/>
            <w:tcBorders>
              <w:top w:val="nil"/>
              <w:left w:val="nil"/>
              <w:bottom w:val="nil"/>
              <w:right w:val="nil"/>
            </w:tcBorders>
            <w:noWrap w:val="0"/>
            <w:tcMar>
              <w:top w:w="-1" w:type="dxa"/>
              <w:left w:w="-1" w:type="dxa"/>
              <w:bottom w:w="-1" w:type="dxa"/>
              <w:right w:w="-1" w:type="dxa"/>
            </w:tcMar>
            <w:vAlign w:val="top"/>
          </w:tcPr>
          <w:p w14:paraId="68946E53">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sz w:val="21"/>
              </w:rPr>
            </w:pPr>
            <w:r>
              <w:rPr>
                <w:rFonts w:hint="eastAsia" w:ascii="Times New Roman" w:hAnsi="Times New Roman" w:eastAsia="宋体" w:cs="Times New Roman"/>
                <w:sz w:val="21"/>
              </w:rPr>
              <w:t>部分稳健</w:t>
            </w:r>
          </w:p>
        </w:tc>
      </w:tr>
      <w:tr w14:paraId="654A53E8">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205E4F1F">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sz w:val="21"/>
              </w:rPr>
            </w:pPr>
            <w:r>
              <w:rPr>
                <w:rFonts w:hint="eastAsia" w:ascii="Times New Roman" w:hAnsi="Times New Roman" w:eastAsia="宋体" w:cs="Times New Roman"/>
                <w:sz w:val="21"/>
              </w:rPr>
              <w:t>H3：真实购买占比调节</w:t>
            </w:r>
          </w:p>
        </w:tc>
        <w:tc>
          <w:tcPr>
            <w:tcW w:w="2582" w:type="pct"/>
            <w:tcBorders>
              <w:top w:val="nil"/>
              <w:left w:val="nil"/>
              <w:bottom w:val="nil"/>
              <w:right w:val="nil"/>
            </w:tcBorders>
            <w:noWrap w:val="0"/>
            <w:tcMar>
              <w:top w:w="-1" w:type="dxa"/>
              <w:left w:w="-1" w:type="dxa"/>
              <w:bottom w:w="-1" w:type="dxa"/>
              <w:right w:w="-1" w:type="dxa"/>
            </w:tcMar>
            <w:vAlign w:val="top"/>
          </w:tcPr>
          <w:p w14:paraId="649852F3">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sz w:val="21"/>
              </w:rPr>
            </w:pPr>
            <w:r>
              <w:rPr>
                <w:rFonts w:ascii="Times New Roman" w:hAnsi="Times New Roman" w:eastAsia="宋体" w:cs="Times New Roman"/>
                <w:sz w:val="21"/>
              </w:rPr>
              <w:t xml:space="preserve">c_incre × c_buy </w:t>
            </w:r>
            <w:r>
              <w:rPr>
                <w:rFonts w:hint="eastAsia" w:ascii="Times New Roman" w:hAnsi="Times New Roman" w:eastAsia="宋体" w:cs="Times New Roman"/>
                <w:sz w:val="21"/>
              </w:rPr>
              <w:t>为正但不显著</w:t>
            </w:r>
          </w:p>
        </w:tc>
        <w:tc>
          <w:tcPr>
            <w:tcW w:w="750" w:type="pct"/>
            <w:tcBorders>
              <w:top w:val="nil"/>
              <w:left w:val="nil"/>
              <w:bottom w:val="nil"/>
              <w:right w:val="nil"/>
            </w:tcBorders>
            <w:noWrap w:val="0"/>
            <w:tcMar>
              <w:top w:w="-1" w:type="dxa"/>
              <w:left w:w="-1" w:type="dxa"/>
              <w:bottom w:w="-1" w:type="dxa"/>
              <w:right w:w="-1" w:type="dxa"/>
            </w:tcMar>
            <w:vAlign w:val="top"/>
          </w:tcPr>
          <w:p w14:paraId="1682886D">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sz w:val="21"/>
              </w:rPr>
            </w:pPr>
            <w:r>
              <w:rPr>
                <w:rFonts w:hint="eastAsia" w:ascii="Times New Roman" w:hAnsi="Times New Roman" w:eastAsia="宋体" w:cs="Times New Roman"/>
                <w:sz w:val="21"/>
              </w:rPr>
              <w:t>稳健性不足</w:t>
            </w:r>
          </w:p>
        </w:tc>
      </w:tr>
      <w:tr w14:paraId="15513141">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5DE5F38E">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sz w:val="21"/>
              </w:rPr>
            </w:pPr>
            <w:r>
              <w:rPr>
                <w:rFonts w:hint="eastAsia" w:ascii="Times New Roman" w:hAnsi="Times New Roman" w:eastAsia="宋体" w:cs="Times New Roman"/>
                <w:sz w:val="21"/>
              </w:rPr>
              <w:t>H4：价格异质性调节</w:t>
            </w:r>
          </w:p>
        </w:tc>
        <w:tc>
          <w:tcPr>
            <w:tcW w:w="2582" w:type="pct"/>
            <w:tcBorders>
              <w:top w:val="nil"/>
              <w:left w:val="nil"/>
              <w:bottom w:val="single" w:color="auto" w:sz="12" w:space="0"/>
              <w:right w:val="nil"/>
            </w:tcBorders>
            <w:noWrap w:val="0"/>
            <w:tcMar>
              <w:top w:w="-1" w:type="dxa"/>
              <w:left w:w="-1" w:type="dxa"/>
              <w:bottom w:w="-1" w:type="dxa"/>
              <w:right w:w="-1" w:type="dxa"/>
            </w:tcMar>
            <w:vAlign w:val="top"/>
          </w:tcPr>
          <w:p w14:paraId="63C033C6">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sz w:val="21"/>
              </w:rPr>
            </w:pPr>
            <w:r>
              <w:rPr>
                <w:rFonts w:hint="eastAsia" w:ascii="Times New Roman" w:hAnsi="Times New Roman" w:eastAsia="宋体" w:cs="Times New Roman"/>
                <w:sz w:val="21"/>
              </w:rPr>
              <w:t>high_incre/high_incre_sq不显著，高低价组差异不显著</w:t>
            </w:r>
          </w:p>
        </w:tc>
        <w:tc>
          <w:tcPr>
            <w:tcW w:w="750" w:type="pct"/>
            <w:tcBorders>
              <w:top w:val="nil"/>
              <w:left w:val="nil"/>
              <w:bottom w:val="single" w:color="auto" w:sz="12" w:space="0"/>
              <w:right w:val="nil"/>
            </w:tcBorders>
            <w:noWrap w:val="0"/>
            <w:tcMar>
              <w:top w:w="-1" w:type="dxa"/>
              <w:left w:w="-1" w:type="dxa"/>
              <w:bottom w:w="-1" w:type="dxa"/>
              <w:right w:w="-1" w:type="dxa"/>
            </w:tcMar>
            <w:vAlign w:val="top"/>
          </w:tcPr>
          <w:p w14:paraId="20D36759">
            <w:pPr>
              <w:pStyle w:val="12"/>
              <w:keepNext w:val="0"/>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sz w:val="21"/>
              </w:rPr>
            </w:pPr>
            <w:r>
              <w:rPr>
                <w:rFonts w:ascii="Times New Roman" w:hAnsi="Times New Roman" w:eastAsia="宋体" w:cs="Times New Roman"/>
                <w:sz w:val="21"/>
              </w:rPr>
              <w:t xml:space="preserve">H4 </w:t>
            </w:r>
            <w:r>
              <w:rPr>
                <w:rFonts w:hint="eastAsia" w:ascii="Times New Roman" w:hAnsi="Times New Roman" w:eastAsia="宋体" w:cs="Times New Roman"/>
                <w:sz w:val="21"/>
              </w:rPr>
              <w:t>不成立</w:t>
            </w:r>
          </w:p>
        </w:tc>
      </w:tr>
    </w:tbl>
    <w:p w14:paraId="543D629D">
      <w:pPr>
        <w:pStyle w:val="5"/>
        <w:jc w:val="center"/>
        <w:rPr>
          <w:rFonts w:hint="eastAsia" w:ascii="宋体" w:hAnsi="宋体" w:eastAsia="宋体" w:cs="宋体"/>
          <w:b/>
          <w:bCs/>
          <w:i w:val="0"/>
          <w:iCs/>
          <w:sz w:val="21"/>
          <w:szCs w:val="21"/>
        </w:rPr>
      </w:pPr>
    </w:p>
    <w:p w14:paraId="086F7E9A">
      <w:pPr>
        <w:pStyle w:val="5"/>
        <w:jc w:val="center"/>
        <w:rPr>
          <w:rFonts w:hint="eastAsia" w:ascii="宋体" w:hAnsi="宋体" w:eastAsia="宋体" w:cs="宋体"/>
          <w:b/>
          <w:bCs/>
          <w:i w:val="0"/>
          <w:iCs/>
          <w:sz w:val="15"/>
          <w:szCs w:val="15"/>
          <w:lang w:eastAsia="zh-CN"/>
        </w:rPr>
      </w:pPr>
      <w:r>
        <w:rPr>
          <w:rFonts w:hint="eastAsia" w:ascii="宋体" w:hAnsi="宋体" w:eastAsia="宋体" w:cs="宋体"/>
          <w:b/>
          <w:bCs/>
          <w:i w:val="0"/>
          <w:iCs/>
          <w:sz w:val="15"/>
          <w:szCs w:val="15"/>
        </w:rPr>
        <w:t xml:space="preserve">表 </w:t>
      </w:r>
      <w:r>
        <w:rPr>
          <w:rFonts w:hint="eastAsia" w:ascii="宋体" w:hAnsi="宋体" w:eastAsia="宋体" w:cs="宋体"/>
          <w:b/>
          <w:bCs/>
          <w:i w:val="0"/>
          <w:iCs/>
          <w:sz w:val="15"/>
          <w:szCs w:val="15"/>
          <w:lang w:val="en-US" w:eastAsia="zh-CN"/>
        </w:rPr>
        <w:t>7</w:t>
      </w:r>
      <w:r>
        <w:rPr>
          <w:rFonts w:hint="eastAsia" w:ascii="宋体" w:hAnsi="宋体" w:eastAsia="宋体" w:cs="宋体"/>
          <w:b/>
          <w:bCs/>
          <w:i w:val="0"/>
          <w:iCs/>
          <w:sz w:val="15"/>
          <w:szCs w:val="15"/>
          <w:lang w:eastAsia="zh-CN"/>
        </w:rPr>
        <w:t xml:space="preserve"> 稳健性检验</w:t>
      </w:r>
    </w:p>
    <w:p w14:paraId="0BAF0EBF">
      <w:pPr>
        <w:pStyle w:val="6"/>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1"/>
        </w:rPr>
      </w:pPr>
    </w:p>
    <w:p w14:paraId="0BF367B9">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ascii="Times New Roman" w:hAnsi="Times New Roman" w:eastAsia="宋体" w:cs="Times New Roman"/>
          <w:sz w:val="21"/>
        </w:rPr>
      </w:pPr>
      <w:r>
        <w:rPr>
          <w:rFonts w:hint="eastAsia" w:ascii="Times New Roman" w:hAnsi="Times New Roman" w:eastAsia="宋体" w:cs="Times New Roman"/>
          <w:sz w:val="21"/>
        </w:rPr>
        <w:t>从稳健性检验结果看，H1</w:t>
      </w:r>
      <w:r>
        <w:rPr>
          <w:rFonts w:ascii="Times New Roman" w:hAnsi="Times New Roman" w:eastAsia="宋体" w:cs="Times New Roman"/>
          <w:sz w:val="21"/>
        </w:rPr>
        <w:t xml:space="preserve"> </w:t>
      </w:r>
      <w:r>
        <w:rPr>
          <w:rFonts w:hint="eastAsia" w:ascii="Times New Roman" w:hAnsi="Times New Roman" w:eastAsia="宋体" w:cs="Times New Roman"/>
          <w:sz w:val="21"/>
        </w:rPr>
        <w:t>的倒</w:t>
      </w:r>
      <w:r>
        <w:rPr>
          <w:rFonts w:ascii="Times New Roman" w:hAnsi="Times New Roman" w:eastAsia="宋体" w:cs="Times New Roman"/>
          <w:sz w:val="21"/>
        </w:rPr>
        <w:t xml:space="preserve"> U </w:t>
      </w:r>
      <w:r>
        <w:rPr>
          <w:rFonts w:hint="eastAsia" w:ascii="Times New Roman" w:hAnsi="Times New Roman" w:eastAsia="宋体" w:cs="Times New Roman"/>
          <w:sz w:val="21"/>
        </w:rPr>
        <w:t>型关系依然成立。在更严格样本中，mean_incre</w:t>
      </w:r>
      <w:r>
        <w:rPr>
          <w:rFonts w:ascii="Times New Roman" w:hAnsi="Times New Roman" w:eastAsia="宋体" w:cs="Times New Roman"/>
          <w:sz w:val="21"/>
        </w:rPr>
        <w:t xml:space="preserve"> </w:t>
      </w:r>
      <w:r>
        <w:rPr>
          <w:rFonts w:hint="eastAsia" w:ascii="Times New Roman" w:hAnsi="Times New Roman" w:eastAsia="宋体" w:cs="Times New Roman"/>
          <w:sz w:val="21"/>
        </w:rPr>
        <w:t>的系数显著为正，mean_incre_sq</w:t>
      </w:r>
      <w:r>
        <w:rPr>
          <w:rFonts w:ascii="Times New Roman" w:hAnsi="Times New Roman" w:eastAsia="宋体" w:cs="Times New Roman"/>
          <w:sz w:val="21"/>
        </w:rPr>
        <w:t xml:space="preserve"> </w:t>
      </w:r>
      <w:r>
        <w:rPr>
          <w:rFonts w:hint="eastAsia" w:ascii="Times New Roman" w:hAnsi="Times New Roman" w:eastAsia="宋体" w:cs="Times New Roman"/>
          <w:sz w:val="21"/>
        </w:rPr>
        <w:t>的系数显著为负，说明增量信息密度对销量的非线性影响并非由低销量商品或极端价格商品驱动。</w:t>
      </w:r>
    </w:p>
    <w:p w14:paraId="6CDB174B">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hint="eastAsia" w:ascii="Times New Roman" w:hAnsi="Times New Roman" w:eastAsia="宋体" w:cs="Times New Roman"/>
          <w:sz w:val="21"/>
        </w:rPr>
      </w:pPr>
      <w:r>
        <w:rPr>
          <w:rFonts w:ascii="Times New Roman" w:hAnsi="Times New Roman" w:eastAsia="宋体" w:cs="Times New Roman"/>
          <w:sz w:val="21"/>
        </w:rPr>
        <w:t xml:space="preserve">H2 </w:t>
      </w:r>
      <w:r>
        <w:rPr>
          <w:rFonts w:hint="eastAsia" w:ascii="Times New Roman" w:hAnsi="Times New Roman" w:eastAsia="宋体" w:cs="Times New Roman"/>
          <w:sz w:val="21"/>
        </w:rPr>
        <w:t>的结果也基本保持一致。正向增量信息</w:t>
      </w:r>
      <w:r>
        <w:rPr>
          <w:rFonts w:ascii="Times New Roman" w:hAnsi="Times New Roman" w:eastAsia="宋体" w:cs="Times New Roman"/>
          <w:sz w:val="21"/>
        </w:rPr>
        <w:t xml:space="preserve"> total_pos </w:t>
      </w:r>
      <w:r>
        <w:rPr>
          <w:rFonts w:hint="eastAsia" w:ascii="Times New Roman" w:hAnsi="Times New Roman" w:eastAsia="宋体" w:cs="Times New Roman"/>
          <w:sz w:val="21"/>
        </w:rPr>
        <w:t>仍然显著促进销量，负向增量信息</w:t>
      </w:r>
      <w:r>
        <w:rPr>
          <w:rFonts w:ascii="Times New Roman" w:hAnsi="Times New Roman" w:eastAsia="宋体" w:cs="Times New Roman"/>
          <w:sz w:val="21"/>
        </w:rPr>
        <w:t xml:space="preserve"> total_neg </w:t>
      </w:r>
      <w:r>
        <w:rPr>
          <w:rFonts w:hint="eastAsia" w:ascii="Times New Roman" w:hAnsi="Times New Roman" w:eastAsia="宋体" w:cs="Times New Roman"/>
          <w:sz w:val="21"/>
        </w:rPr>
        <w:t>仍然显著为正。这进一步说明，在美妆商品评论情境中，负向增量信息并未表现出直接抑制销量的作用，反而可能与商品热度和评论真实性有关。</w:t>
      </w:r>
    </w:p>
    <w:p w14:paraId="6B199A5F">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hint="eastAsia" w:ascii="Times New Roman" w:hAnsi="Times New Roman" w:eastAsia="宋体" w:cs="Times New Roman"/>
          <w:sz w:val="21"/>
        </w:rPr>
      </w:pPr>
      <w:r>
        <w:rPr>
          <w:rFonts w:hint="eastAsia" w:ascii="Times New Roman" w:hAnsi="Times New Roman" w:eastAsia="宋体" w:cs="Times New Roman"/>
          <w:sz w:val="21"/>
        </w:rPr>
        <w:t>H3的稳健性检验结果显示，真实购买占比的两个交互项在更严格样本中联合不显著（F = 0.87，p = 0.419），说明其调节作用仅在主样本中存在弱证据，稳健性不足。因此对H3的结论应保持谨慎。</w:t>
      </w:r>
    </w:p>
    <w:p w14:paraId="537EA088">
      <w:pPr>
        <w:pStyle w:val="6"/>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left"/>
        <w:textAlignment w:val="auto"/>
        <w:rPr>
          <w:rFonts w:ascii="Times New Roman" w:hAnsi="Times New Roman" w:eastAsia="宋体" w:cs="Times New Roman"/>
          <w:sz w:val="21"/>
        </w:rPr>
      </w:pPr>
      <w:r>
        <w:rPr>
          <w:rFonts w:ascii="Times New Roman" w:hAnsi="Times New Roman" w:eastAsia="宋体" w:cs="Times New Roman"/>
          <w:sz w:val="21"/>
        </w:rPr>
        <w:t xml:space="preserve">H4 </w:t>
      </w:r>
      <w:r>
        <w:rPr>
          <w:rFonts w:hint="eastAsia" w:ascii="Times New Roman" w:hAnsi="Times New Roman" w:eastAsia="宋体" w:cs="Times New Roman"/>
          <w:sz w:val="21"/>
        </w:rPr>
        <w:t>的稳健性检验仍然不支持价格异质性假设。无论是在主样本还是更严格样本中，高价组与增量信息密度的交互项均不显著，高价组和低价组之间也不存在显著差异。因此，本文认为价格并未显著改变增量信息密度对美妆商品销量的影响。</w:t>
      </w:r>
    </w:p>
    <w:p w14:paraId="025DAEA9">
      <w:pPr>
        <w:pStyle w:val="6"/>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eastAsia="宋体" w:cs="Times New Roman"/>
          <w:sz w:val="21"/>
        </w:rPr>
      </w:pPr>
      <w:r>
        <w:rPr>
          <w:rFonts w:hint="eastAsia" w:ascii="Times New Roman" w:hAnsi="Times New Roman" w:eastAsia="宋体" w:cs="Times New Roman"/>
          <w:sz w:val="21"/>
        </w:rPr>
        <w:t>综合以上结果，本文的实证结论如下：第一，增量信息密度与美妆商品销量之间存在显著倒</w:t>
      </w:r>
      <w:r>
        <w:rPr>
          <w:rFonts w:ascii="Times New Roman" w:hAnsi="Times New Roman" w:eastAsia="宋体" w:cs="Times New Roman"/>
          <w:sz w:val="21"/>
        </w:rPr>
        <w:t xml:space="preserve"> U </w:t>
      </w:r>
      <w:r>
        <w:rPr>
          <w:rFonts w:hint="eastAsia" w:ascii="Times New Roman" w:hAnsi="Times New Roman" w:eastAsia="宋体" w:cs="Times New Roman"/>
          <w:sz w:val="21"/>
        </w:rPr>
        <w:t>型关系，适度的有效评论信息能够促进销量，但过高的信息密度可能带来信息过载或风险感知上升。第二，正向增量信息显著促进销量，但负向增量信息并未降低销量，反而呈现显著正相关，说明负向体验信息在美妆评论中可能兼具风险提示和真实性信号功能。第三，真实购买占比对增量信息密度与销量关系具有一定调节作用，但稳健性有限。第四，价格异质性未能显著调节增量信息密度对销量的影响，高价商品并不比低价商品更依赖评论中的增量信息。</w:t>
      </w:r>
    </w:p>
    <w:p w14:paraId="16BA3D5C">
      <w:pPr>
        <w:pStyle w:val="3"/>
        <w:spacing w:beforeAutospacing="0" w:afterAutospacing="0"/>
        <w:rPr>
          <w:rFonts w:ascii="宋体" w:hAnsi="宋体" w:eastAsia="宋体" w:cs="宋体"/>
          <w:sz w:val="36"/>
          <w:szCs w:val="36"/>
        </w:rPr>
      </w:pPr>
      <w:r>
        <w:rPr>
          <w:rFonts w:hint="eastAsia"/>
          <w:lang w:val="en-US" w:eastAsia="zh-CN"/>
        </w:rPr>
        <w:t xml:space="preserve">5 </w:t>
      </w:r>
      <w:r>
        <w:rPr>
          <w:rFonts w:ascii="宋体" w:hAnsi="宋体" w:eastAsia="宋体" w:cs="宋体"/>
          <w:sz w:val="36"/>
          <w:szCs w:val="36"/>
        </w:rPr>
        <w:t>研究启示、局限与未来展望</w:t>
      </w:r>
    </w:p>
    <w:p w14:paraId="790BD912">
      <w:pPr>
        <w:pStyle w:val="3"/>
        <w:spacing w:beforeAutospacing="0" w:afterAutospacing="0"/>
        <w:rPr>
          <w:color w:val="000000"/>
          <w:sz w:val="21"/>
          <w:szCs w:val="21"/>
        </w:rPr>
      </w:pPr>
      <w:r>
        <w:rPr>
          <w:rFonts w:hint="eastAsia"/>
          <w:color w:val="000000"/>
          <w:sz w:val="21"/>
          <w:szCs w:val="21"/>
          <w:bdr w:val="none" w:color="auto" w:sz="0" w:space="0"/>
          <w:lang w:val="en-US" w:eastAsia="zh-CN"/>
        </w:rPr>
        <w:t>5</w:t>
      </w:r>
      <w:r>
        <w:rPr>
          <w:color w:val="000000"/>
          <w:sz w:val="21"/>
          <w:szCs w:val="21"/>
          <w:bdr w:val="none" w:color="auto" w:sz="0" w:space="0"/>
        </w:rPr>
        <w:t>.1 理论启示</w:t>
      </w:r>
    </w:p>
    <w:p w14:paraId="47FB0D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rPr>
          <w:rFonts w:ascii="宋体" w:hAnsi="宋体" w:eastAsia="宋体" w:cs="宋体"/>
          <w:b w:val="0"/>
          <w:bCs w:val="0"/>
          <w:sz w:val="21"/>
          <w:szCs w:val="21"/>
        </w:rPr>
      </w:pPr>
      <w:r>
        <w:rPr>
          <w:rFonts w:ascii="宋体" w:hAnsi="宋体" w:eastAsia="宋体" w:cs="宋体"/>
          <w:b w:val="0"/>
          <w:bCs w:val="0"/>
          <w:sz w:val="21"/>
          <w:szCs w:val="21"/>
        </w:rPr>
        <w:t>第一，本文拓展在线口碑信息价值测度框架，打破过往研究仅依托评论总量、平均星级、文本长度等表层规模指标衡量口碑价值的固有范式，从信息供给主体视角区分商家标准化营销宣传信息与消费者自发产出的独有增量实测信息，实证证明传统单一规模指标存在系统性测量偏差，无法识别评论内部有效信息与冗余宣传内容的结构差异。本文构建的增量信息密度指标，锚定 “信息是否为商家未披露的新增体验内容” 这一核心判定标准，为体验型商品口碑质量量化提供全新测度思路，完善信息价值理论在电商口碑场景下的落地工具。</w:t>
      </w:r>
    </w:p>
    <w:p w14:paraId="3C97B7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rPr>
          <w:rFonts w:ascii="宋体" w:hAnsi="宋体" w:eastAsia="宋体" w:cs="宋体"/>
          <w:b w:val="0"/>
          <w:bCs w:val="0"/>
          <w:sz w:val="21"/>
          <w:szCs w:val="21"/>
        </w:rPr>
      </w:pPr>
      <w:r>
        <w:rPr>
          <w:rFonts w:ascii="宋体" w:hAnsi="宋体" w:eastAsia="宋体" w:cs="宋体"/>
          <w:b w:val="0"/>
          <w:bCs w:val="0"/>
          <w:sz w:val="21"/>
          <w:szCs w:val="21"/>
        </w:rPr>
        <w:t xml:space="preserve"> 第二，本文完善评论情感异质性理论边界，推翻现有消费行为研究中 “负面评论必然抑制商品销量” 的单向固化结论。过往研究笼统将全部负面文本归为消极信号，未区分商家宣传话术式负面营销与用户真实肤质适配类负向增量信息。本文证实美妆强体验品类场景下，具象化负向增量信息同时具备风险提示与真实性背书双重功能：一方面能够向消费者传递产品适配局限，起到风险预警作用；另一方面少量客观负面反馈能够消解全好评评论区的水军营销嫌疑，提升整体评论可信度，最终对商品销量形成正向拉动，补充负面偏差理论在垂直体验品类下的差异化适用边界。</w:t>
      </w:r>
    </w:p>
    <w:p w14:paraId="43889C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rPr>
          <w:rFonts w:hint="eastAsia"/>
          <w:b w:val="0"/>
          <w:bCs w:val="0"/>
          <w:color w:val="000000"/>
          <w:sz w:val="21"/>
          <w:szCs w:val="21"/>
          <w:bdr w:val="none" w:color="auto" w:sz="0" w:space="0"/>
          <w:lang w:val="en-US" w:eastAsia="zh-CN"/>
        </w:rPr>
      </w:pPr>
      <w:r>
        <w:rPr>
          <w:rFonts w:ascii="宋体" w:hAnsi="宋体" w:eastAsia="宋体" w:cs="宋体"/>
          <w:b w:val="0"/>
          <w:bCs w:val="0"/>
          <w:sz w:val="21"/>
          <w:szCs w:val="21"/>
        </w:rPr>
        <w:t>第三，本文丰富在线评论信息非线性影响相关研究，摒弃学界长期默认的 “评论信息与销量单调线性相关” 的研究预设，基于信息稀缺、信息过载双类消费情境完整验证增量信息密度与商品销量的倒 U 型作用机制。当增量信息供给不足时，新增实测细节能够持续降低消费者事前信息不对称，推动销量提升；当增量信息密度突破临界拐点后，过量细分肤质、缺陷信息会抬高消费者认知负担，诱发决策犹豫，削弱购买意愿。该结论修正了单调线性关系的片面认知，为体验型商品口碑非线性作用机制提供完整理论解释与实证支撑。</w:t>
      </w:r>
    </w:p>
    <w:p w14:paraId="5DFAB1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color w:val="000000"/>
          <w:sz w:val="21"/>
          <w:szCs w:val="21"/>
          <w:bdr w:val="none" w:color="auto" w:sz="0" w:space="0"/>
          <w:lang w:val="en-US" w:eastAsia="zh-CN"/>
        </w:rPr>
      </w:pPr>
    </w:p>
    <w:p w14:paraId="7CDCB1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1"/>
          <w:szCs w:val="21"/>
        </w:rPr>
      </w:pPr>
      <w:r>
        <w:rPr>
          <w:rFonts w:hint="eastAsia"/>
          <w:color w:val="000000"/>
          <w:sz w:val="21"/>
          <w:szCs w:val="21"/>
          <w:bdr w:val="none" w:color="auto" w:sz="0" w:space="0"/>
          <w:lang w:val="en-US" w:eastAsia="zh-CN"/>
        </w:rPr>
        <w:t>5</w:t>
      </w:r>
      <w:r>
        <w:rPr>
          <w:color w:val="000000"/>
          <w:sz w:val="21"/>
          <w:szCs w:val="21"/>
          <w:bdr w:val="none" w:color="auto" w:sz="0" w:space="0"/>
        </w:rPr>
        <w:t>.2 实践启示</w:t>
      </w:r>
    </w:p>
    <w:p w14:paraId="2AB231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rPr>
          <w:rFonts w:ascii="宋体" w:hAnsi="宋体" w:eastAsia="宋体" w:cs="宋体"/>
          <w:b w:val="0"/>
          <w:bCs w:val="0"/>
          <w:sz w:val="21"/>
          <w:szCs w:val="21"/>
        </w:rPr>
      </w:pPr>
      <w:r>
        <w:rPr>
          <w:rFonts w:ascii="宋体" w:hAnsi="宋体" w:eastAsia="宋体" w:cs="宋体"/>
          <w:b w:val="0"/>
          <w:bCs w:val="0"/>
          <w:sz w:val="21"/>
          <w:szCs w:val="21"/>
        </w:rPr>
        <w:t>从电商平台运营视角，平台可基于增量信息密度指标优化评论前端智能排序算法，调整现有仅依据点赞量、发布时间排序的单一规则，优先推送真实购买标识、增量信息占比更高的用户评论，自动过滤大量重复商家宣传话术、无实质体验内容的灌水评论，精准降低消费者信息搜寻成本；同时平台可增设评论信息标签，自动识别肤质适配、功效实测、刺激反应等增量信息关键词，帮助消费者快速定位高价值决策内容，提升平台内容服务价值。</w:t>
      </w:r>
    </w:p>
    <w:p w14:paraId="74A708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rPr>
          <w:rFonts w:ascii="宋体" w:hAnsi="宋体" w:eastAsia="宋体" w:cs="宋体"/>
          <w:b w:val="0"/>
          <w:bCs w:val="0"/>
          <w:sz w:val="21"/>
          <w:szCs w:val="21"/>
        </w:rPr>
      </w:pPr>
      <w:r>
        <w:rPr>
          <w:rFonts w:ascii="宋体" w:hAnsi="宋体" w:eastAsia="宋体" w:cs="宋体"/>
          <w:b w:val="0"/>
          <w:bCs w:val="0"/>
          <w:sz w:val="21"/>
          <w:szCs w:val="21"/>
        </w:rPr>
        <w:t xml:space="preserve">从美妆品牌商家运营视角，商家无需刻意屏蔽、删除少量肤质适配类客观负向增量评论，适度具象化负面实测反馈能够打破全好评带来的虚假感，提升评论区整体可信度，反而有利于长期转化；商家口碑运营重心应当通过晒单激励、问卷引导等方式，主动鼓励消费者发布保湿、持妆、敏感肌适配、长期使用效果等正向实测增量内容，丰富评论区有效决策信息。同时低价平价美妆品牌不能依托低价优势忽视细分体验口碑运营，平价彩妆、护肤产品同样存在肤质适配、致痘风险等消费者核心关切点，增量实测信息依然是拉动转化的核心口碑资产。 </w:t>
      </w:r>
    </w:p>
    <w:p w14:paraId="5444A7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rPr>
          <w:rFonts w:hint="eastAsia"/>
          <w:b w:val="0"/>
          <w:bCs w:val="0"/>
          <w:color w:val="000000"/>
          <w:sz w:val="21"/>
          <w:szCs w:val="21"/>
          <w:bdr w:val="none" w:color="auto" w:sz="0" w:space="0"/>
          <w:lang w:val="en-US" w:eastAsia="zh-CN"/>
        </w:rPr>
      </w:pPr>
      <w:r>
        <w:rPr>
          <w:rFonts w:ascii="宋体" w:hAnsi="宋体" w:eastAsia="宋体" w:cs="宋体"/>
          <w:b w:val="0"/>
          <w:bCs w:val="0"/>
          <w:sz w:val="21"/>
          <w:szCs w:val="21"/>
        </w:rPr>
        <w:t>从消费者决策视角，本文结论也为消费者线上选购美妆提供参考，消费者无需完全规避存在少量负面实测评论的商品，带有具象肤质、使用细节增量信息的评论区整体可信度更高，单一负面反馈仅代表个体肤质差异，可结合多条正负增量综合判断产品自身真实质量。</w:t>
      </w:r>
    </w:p>
    <w:p w14:paraId="5D9E4B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color w:val="000000"/>
          <w:sz w:val="21"/>
          <w:szCs w:val="21"/>
          <w:bdr w:val="none" w:color="auto" w:sz="0" w:space="0"/>
          <w:lang w:val="en-US" w:eastAsia="zh-CN"/>
        </w:rPr>
      </w:pPr>
    </w:p>
    <w:p w14:paraId="71C331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1"/>
          <w:szCs w:val="21"/>
        </w:rPr>
      </w:pPr>
      <w:r>
        <w:rPr>
          <w:rFonts w:hint="eastAsia"/>
          <w:color w:val="000000"/>
          <w:sz w:val="21"/>
          <w:szCs w:val="21"/>
          <w:bdr w:val="none" w:color="auto" w:sz="0" w:space="0"/>
          <w:lang w:val="en-US" w:eastAsia="zh-CN"/>
        </w:rPr>
        <w:t>5</w:t>
      </w:r>
      <w:r>
        <w:rPr>
          <w:color w:val="000000"/>
          <w:sz w:val="21"/>
          <w:szCs w:val="21"/>
          <w:bdr w:val="none" w:color="auto" w:sz="0" w:space="0"/>
        </w:rPr>
        <w:t>.3 研究局限</w:t>
      </w:r>
    </w:p>
    <w:p w14:paraId="081AD9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rPr>
          <w:rFonts w:ascii="宋体" w:hAnsi="宋体" w:eastAsia="宋体" w:cs="宋体"/>
          <w:b w:val="0"/>
          <w:bCs w:val="0"/>
          <w:sz w:val="21"/>
          <w:szCs w:val="21"/>
        </w:rPr>
      </w:pPr>
      <w:r>
        <w:rPr>
          <w:rFonts w:ascii="宋体" w:hAnsi="宋体" w:eastAsia="宋体" w:cs="宋体"/>
          <w:b w:val="0"/>
          <w:bCs w:val="0"/>
          <w:sz w:val="21"/>
          <w:szCs w:val="21"/>
        </w:rPr>
        <w:t>第一，研究样本仅选取海外亚马逊 All_Beauty 美妆数据集，海外美妆消费文化、平台评论激励机制、用户肤质表达习惯与国内淘宝、抖音、小红书等电商平台存在显著差异，中外消费者对增量信息的重视程度、评论发布动机不同，因此本文实证结论的行业普适性存在地域边界，无法直接套用于国内美妆线上消费场景。</w:t>
      </w:r>
    </w:p>
    <w:p w14:paraId="3FAB09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rPr>
          <w:rFonts w:ascii="宋体" w:hAnsi="宋体" w:eastAsia="宋体" w:cs="宋体"/>
          <w:b w:val="0"/>
          <w:bCs w:val="0"/>
          <w:sz w:val="21"/>
          <w:szCs w:val="21"/>
        </w:rPr>
      </w:pPr>
      <w:r>
        <w:rPr>
          <w:rFonts w:ascii="宋体" w:hAnsi="宋体" w:eastAsia="宋体" w:cs="宋体"/>
          <w:b w:val="0"/>
          <w:bCs w:val="0"/>
          <w:sz w:val="21"/>
          <w:szCs w:val="21"/>
        </w:rPr>
        <w:t>第二，本文仅采用横截面静态商品数据开展回归检验，横截面模型无法捕捉增量信息、商品销量随时间变化的动态演变关系，同时难以完全规避双向因果内生性问题：一方面增量信息会影响当期商品销量，另一方面商品销量提升后会吸引更多用户发布评论，进一步改变增量信息总量，双向因果会对核心变量估计系数造成轻微偏误，本文未引入面板滞后项、工具变量等内生处理方法，无法完全消除反向因果干扰。</w:t>
      </w:r>
    </w:p>
    <w:p w14:paraId="51FB59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20" w:firstLineChars="200"/>
        <w:rPr>
          <w:rFonts w:hint="eastAsia"/>
          <w:b w:val="0"/>
          <w:bCs w:val="0"/>
          <w:color w:val="000000"/>
          <w:sz w:val="21"/>
          <w:szCs w:val="21"/>
          <w:bdr w:val="none" w:color="auto" w:sz="0" w:space="0"/>
          <w:lang w:val="en-US" w:eastAsia="zh-CN"/>
        </w:rPr>
      </w:pPr>
      <w:r>
        <w:rPr>
          <w:rFonts w:ascii="宋体" w:hAnsi="宋体" w:eastAsia="宋体" w:cs="宋体"/>
          <w:b w:val="0"/>
          <w:bCs w:val="0"/>
          <w:sz w:val="21"/>
          <w:szCs w:val="21"/>
        </w:rPr>
        <w:t>第三，本文增量信息的识别依托人工构建美妆细分词库完成分词匹配，文本量化方式存在固有局限。词库词汇覆盖范围有限，无法穷尽全部用户口语化、网络式美妆体验词汇，对于部分隐晦描述肤质、功效的隐性增量信息无法精准识别，使得增量信息密度、正负增量总量指标存在轻微测量误差；同时未引入深度学习词向量、TF-IDF 等全自动文本挖掘方法，文本量化的自动化程度与精准度仍有提升空间。</w:t>
      </w:r>
    </w:p>
    <w:p w14:paraId="1E3182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color w:val="000000"/>
          <w:sz w:val="21"/>
          <w:szCs w:val="21"/>
          <w:bdr w:val="none" w:color="auto" w:sz="0" w:space="0"/>
          <w:lang w:val="en-US" w:eastAsia="zh-CN"/>
        </w:rPr>
      </w:pPr>
    </w:p>
    <w:p w14:paraId="79BD10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1"/>
          <w:szCs w:val="21"/>
        </w:rPr>
      </w:pPr>
      <w:r>
        <w:rPr>
          <w:rFonts w:hint="eastAsia"/>
          <w:color w:val="000000"/>
          <w:sz w:val="21"/>
          <w:szCs w:val="21"/>
          <w:bdr w:val="none" w:color="auto" w:sz="0" w:space="0"/>
          <w:lang w:val="en-US" w:eastAsia="zh-CN"/>
        </w:rPr>
        <w:t>5</w:t>
      </w:r>
      <w:r>
        <w:rPr>
          <w:color w:val="000000"/>
          <w:sz w:val="21"/>
          <w:szCs w:val="21"/>
          <w:bdr w:val="none" w:color="auto" w:sz="0" w:space="0"/>
        </w:rPr>
        <w:t>.4 未来研究方向</w:t>
      </w:r>
    </w:p>
    <w:p w14:paraId="301F6129">
      <w:pPr>
        <w:pStyle w:val="6"/>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20" w:firstLineChars="200"/>
        <w:jc w:val="left"/>
        <w:textAlignment w:val="auto"/>
        <w:rPr>
          <w:rFonts w:ascii="宋体" w:hAnsi="宋体" w:eastAsia="宋体" w:cs="宋体"/>
          <w:sz w:val="21"/>
          <w:szCs w:val="21"/>
        </w:rPr>
      </w:pPr>
      <w:r>
        <w:rPr>
          <w:rFonts w:hint="eastAsia" w:ascii="宋体" w:hAnsi="宋体" w:eastAsia="宋体" w:cs="宋体"/>
          <w:kern w:val="2"/>
          <w:sz w:val="21"/>
          <w:szCs w:val="21"/>
          <w:lang w:val="en-US" w:eastAsia="zh-CN" w:bidi="ar-SA"/>
        </w:rPr>
        <w:t>第一，</w:t>
      </w:r>
      <w:r>
        <w:rPr>
          <w:rFonts w:ascii="宋体" w:hAnsi="宋体" w:eastAsia="宋体" w:cs="宋体"/>
          <w:sz w:val="21"/>
          <w:szCs w:val="21"/>
        </w:rPr>
        <w:t>拓展数据样本边界，引入国内淘宝、抖音电商、小红书美妆评论数据集开展跨平台、跨国对比分析，区分中外消费场景下增量信息密度、正负增量信息对销量作用强度的差异，完善结论普适性；同时可细分彩妆、护肤、香氛等美妆子类，开展细分品类异质性检验，挖掘不同品类下增量信息价值的差异化规律。</w:t>
      </w:r>
    </w:p>
    <w:p w14:paraId="3F29D2B4">
      <w:pPr>
        <w:pStyle w:val="6"/>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20" w:firstLineChars="200"/>
        <w:jc w:val="left"/>
        <w:textAlignment w:val="auto"/>
        <w:rPr>
          <w:rFonts w:hint="eastAsia" w:ascii="宋体" w:hAnsi="宋体" w:eastAsia="宋体" w:cs="宋体"/>
          <w:sz w:val="21"/>
          <w:szCs w:val="21"/>
          <w:lang w:val="en-US" w:eastAsia="zh-CN"/>
        </w:rPr>
      </w:pPr>
      <w:r>
        <w:rPr>
          <w:rFonts w:hint="eastAsia" w:ascii="Times New Roman" w:hAnsi="Times New Roman" w:eastAsia="宋体" w:cs="Times New Roman"/>
          <w:kern w:val="2"/>
          <w:sz w:val="21"/>
          <w:szCs w:val="21"/>
          <w:lang w:val="en-US" w:eastAsia="zh-CN" w:bidi="ar-SA"/>
        </w:rPr>
        <w:t>第二</w:t>
      </w:r>
      <w:r>
        <w:rPr>
          <w:rFonts w:ascii="宋体" w:hAnsi="宋体" w:eastAsia="宋体" w:cs="宋体"/>
          <w:sz w:val="21"/>
          <w:szCs w:val="21"/>
        </w:rPr>
        <w:t xml:space="preserve">，优化计量模型设计，采用多年份面板评论商品数据，引入滞后一期的增量信息指标作为前定变量缓解双向因果内生问题；同时筛选商品历史营销活动、品牌线下门店数量作为工具变量，进一步解决遗漏变量、反向因果带来的估计偏误，提升实证结果稳健性。 </w:t>
      </w:r>
      <w:r>
        <w:rPr>
          <w:rFonts w:hint="eastAsia" w:ascii="宋体" w:hAnsi="宋体" w:eastAsia="宋体" w:cs="宋体"/>
          <w:sz w:val="21"/>
          <w:szCs w:val="21"/>
          <w:lang w:val="en-US" w:eastAsia="zh-CN"/>
        </w:rPr>
        <w:t xml:space="preserve">        </w:t>
      </w:r>
    </w:p>
    <w:p w14:paraId="5E99B4AB">
      <w:pPr>
        <w:pStyle w:val="6"/>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20" w:firstLineChars="200"/>
        <w:jc w:val="left"/>
        <w:textAlignment w:val="auto"/>
        <w:rPr>
          <w:rFonts w:ascii="宋体" w:hAnsi="宋体" w:eastAsia="宋体" w:cs="宋体"/>
          <w:sz w:val="21"/>
          <w:szCs w:val="21"/>
        </w:rPr>
      </w:pPr>
      <w:r>
        <w:rPr>
          <w:rFonts w:ascii="宋体" w:hAnsi="宋体" w:eastAsia="宋体" w:cs="宋体"/>
          <w:sz w:val="21"/>
          <w:szCs w:val="21"/>
        </w:rPr>
        <w:t>第三，细化增量信息细分维度，在现有整体密度、情感极性基础上，将增量信息进一步拆解为肤质适配维度、成分安全维度、长期功效维度、使用风险维度四类细分指标，分别检验不同类型增量信息对商品销量的差异化影响，细化信息价值理论的细分作用机制。 第四，丰富评论特征研究维度，在文本增量信息基础上，叠加评论配图、短视频、追加追评、问答区内容等多媒介信息，构建包含文本、图像、二次评论的多维度综合增量信息指标体系；同时可引入用户个人主页画像、评论发布时间、商家互动回复等调节变量，进一步挖掘增量信息发挥作用的多元边界条件。</w:t>
      </w:r>
    </w:p>
    <w:p w14:paraId="4FB5833A">
      <w:pPr>
        <w:pStyle w:val="3"/>
        <w:spacing w:beforeAutospacing="0" w:afterAutospacing="0"/>
        <w:rPr>
          <w:rFonts w:hint="eastAsia"/>
          <w:lang w:val="en-US" w:eastAsia="zh-CN"/>
        </w:rPr>
      </w:pPr>
    </w:p>
    <w:p w14:paraId="30039C16">
      <w:pPr>
        <w:pStyle w:val="3"/>
        <w:spacing w:beforeAutospacing="0" w:afterAutospacing="0"/>
        <w:rPr>
          <w:rFonts w:hint="eastAsia"/>
          <w:lang w:val="en-US" w:eastAsia="zh-CN"/>
        </w:rPr>
      </w:pPr>
      <w:r>
        <w:rPr>
          <w:rFonts w:hint="eastAsia"/>
          <w:lang w:val="en-US" w:eastAsia="zh-CN"/>
        </w:rPr>
        <w:t>6 作者贡献</w:t>
      </w:r>
    </w:p>
    <w:p w14:paraId="6C6084B9">
      <w:pPr>
        <w:spacing w:line="360" w:lineRule="auto"/>
        <w:ind w:firstLine="420" w:firstLineChars="200"/>
        <w:rPr>
          <w:rFonts w:hint="eastAsia" w:eastAsia="宋体"/>
          <w:sz w:val="21"/>
          <w:szCs w:val="21"/>
          <w:lang w:val="en-US" w:eastAsia="zh-CN"/>
        </w:rPr>
      </w:pPr>
      <w:r>
        <w:rPr>
          <w:rFonts w:ascii="宋体" w:hAnsi="宋体" w:eastAsia="宋体" w:cs="宋体"/>
          <w:sz w:val="21"/>
          <w:szCs w:val="21"/>
        </w:rPr>
        <w:t>刘一</w:t>
      </w:r>
      <w:r>
        <w:rPr>
          <w:rFonts w:hint="eastAsia" w:ascii="宋体" w:hAnsi="宋体" w:eastAsia="宋体" w:cs="宋体"/>
          <w:sz w:val="21"/>
          <w:szCs w:val="21"/>
          <w:lang w:val="en-US" w:eastAsia="zh-CN"/>
        </w:rPr>
        <w:t>诺</w:t>
      </w:r>
      <w:r>
        <w:rPr>
          <w:rFonts w:ascii="宋体" w:hAnsi="宋体" w:eastAsia="宋体" w:cs="宋体"/>
          <w:sz w:val="21"/>
          <w:szCs w:val="21"/>
        </w:rPr>
        <w:t>负责引言、文献综述、理论基础与研究假设部分全部撰写，完成文献梳理、研究缺口识别</w:t>
      </w:r>
      <w:r>
        <w:rPr>
          <w:rFonts w:hint="eastAsia" w:ascii="宋体" w:hAnsi="宋体" w:eastAsia="宋体" w:cs="宋体"/>
          <w:sz w:val="21"/>
          <w:szCs w:val="21"/>
          <w:lang w:eastAsia="zh-CN"/>
        </w:rPr>
        <w:t>；</w:t>
      </w:r>
      <w:r>
        <w:rPr>
          <w:rFonts w:ascii="宋体" w:hAnsi="宋体" w:eastAsia="宋体" w:cs="宋体"/>
          <w:sz w:val="21"/>
          <w:szCs w:val="21"/>
        </w:rPr>
        <w:t>汪彦廷负责数据集下载、清洗、分词词库搭建、评论层面增量指标自动化计算等全部数据预处理工作</w:t>
      </w:r>
      <w:r>
        <w:rPr>
          <w:rFonts w:hint="eastAsia" w:ascii="宋体" w:hAnsi="宋体" w:eastAsia="宋体" w:cs="宋体"/>
          <w:sz w:val="21"/>
          <w:szCs w:val="21"/>
          <w:lang w:eastAsia="zh-CN"/>
        </w:rPr>
        <w:t>；</w:t>
      </w:r>
      <w:r>
        <w:rPr>
          <w:rFonts w:ascii="宋体" w:hAnsi="宋体" w:eastAsia="宋体" w:cs="宋体"/>
          <w:sz w:val="21"/>
          <w:szCs w:val="21"/>
        </w:rPr>
        <w:t>黄梓涵：负责变量聚合、计量模型推导、回归设计、相关性与多重共线性检验、稳健性检验整套计算过程撰写</w:t>
      </w:r>
      <w:r>
        <w:rPr>
          <w:rFonts w:hint="eastAsia" w:ascii="宋体" w:hAnsi="宋体" w:eastAsia="宋体" w:cs="宋体"/>
          <w:sz w:val="21"/>
          <w:szCs w:val="21"/>
          <w:lang w:eastAsia="zh-CN"/>
        </w:rPr>
        <w:t>；</w:t>
      </w:r>
      <w:r>
        <w:rPr>
          <w:rFonts w:ascii="宋体" w:hAnsi="宋体" w:eastAsia="宋体" w:cs="宋体"/>
          <w:sz w:val="21"/>
          <w:szCs w:val="21"/>
        </w:rPr>
        <w:t>王璐瑶负责整体研究方案统筹设计，图表整理、汇报内容撰写，全文逻辑统一、格式校对与最终修订</w:t>
      </w:r>
      <w:r>
        <w:rPr>
          <w:rFonts w:hint="eastAsia" w:ascii="宋体" w:hAnsi="宋体" w:eastAsia="宋体" w:cs="宋体"/>
          <w:sz w:val="21"/>
          <w:szCs w:val="21"/>
          <w:lang w:eastAsia="zh-CN"/>
        </w:rPr>
        <w:t>。</w:t>
      </w:r>
      <w:r>
        <w:rPr>
          <w:rFonts w:ascii="宋体" w:hAnsi="宋体" w:eastAsia="宋体" w:cs="宋体"/>
          <w:sz w:val="21"/>
          <w:szCs w:val="21"/>
        </w:rPr>
        <w:t>全体作者共同参与实证结果讨论与研究启示提炼</w:t>
      </w:r>
      <w:r>
        <w:rPr>
          <w:rFonts w:hint="eastAsia" w:ascii="宋体" w:hAnsi="宋体" w:eastAsia="宋体" w:cs="宋体"/>
          <w:sz w:val="21"/>
          <w:szCs w:val="21"/>
          <w:lang w:eastAsia="zh-CN"/>
        </w:rPr>
        <w:t>。</w:t>
      </w:r>
    </w:p>
    <w:p w14:paraId="2B836944">
      <w:pPr>
        <w:pStyle w:val="6"/>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left"/>
        <w:textAlignment w:val="auto"/>
        <w:rPr>
          <w:rFonts w:hint="eastAsia" w:ascii="宋体" w:hAnsi="宋体" w:eastAsia="宋体" w:cs="宋体"/>
          <w:sz w:val="21"/>
          <w:szCs w:val="21"/>
        </w:rPr>
      </w:pPr>
    </w:p>
    <w:p w14:paraId="4DF963E5">
      <w:pPr>
        <w:pStyle w:val="4"/>
      </w:pPr>
      <w:r>
        <w:t>参考文献 (References)</w:t>
      </w:r>
    </w:p>
    <w:p w14:paraId="5FC4CBA7">
      <w:r>
        <w:rPr>
          <w:b/>
        </w:rPr>
        <w:t>中文参考文献</w:t>
      </w:r>
    </w:p>
    <w:p w14:paraId="273DF745">
      <w:pPr>
        <w:numPr>
          <w:ilvl w:val="0"/>
          <w:numId w:val="1"/>
        </w:numPr>
        <w:ind w:left="0" w:leftChars="0" w:firstLine="403" w:firstLineChars="0"/>
      </w:pPr>
      <w:bookmarkStart w:id="0" w:name="_Ref5947"/>
      <w:r>
        <w:t>毕继东, 郝金星. 电子商务环境下的在线评论有用性研究综述[J]. 情报学报, 2015, 34(10): 1088-1102.</w:t>
      </w:r>
      <w:bookmarkEnd w:id="0"/>
    </w:p>
    <w:p w14:paraId="5030B03E">
      <w:pPr>
        <w:numPr>
          <w:ilvl w:val="0"/>
          <w:numId w:val="1"/>
        </w:numPr>
        <w:ind w:left="0" w:leftChars="0" w:firstLine="403" w:firstLineChars="0"/>
      </w:pPr>
      <w:bookmarkStart w:id="1" w:name="_Ref5990"/>
      <w:r>
        <w:t>常亚平, 魏依凡, 侯烜方. 在线评论中“非对称效应”的形成机制及调节变量研究[J]. 南开管理评论, 2016, 19(06): 18-29.</w:t>
      </w:r>
      <w:bookmarkEnd w:id="1"/>
    </w:p>
    <w:p w14:paraId="3F44193F">
      <w:pPr>
        <w:numPr>
          <w:ilvl w:val="0"/>
          <w:numId w:val="1"/>
        </w:numPr>
        <w:ind w:left="0" w:leftChars="0" w:firstLine="403" w:firstLineChars="0"/>
      </w:pPr>
      <w:bookmarkStart w:id="2" w:name="_Ref6408"/>
      <w:r>
        <w:t>郝媛媛, 叶强, 李一军. 基于影评数据的在线评论有用性影响因素研究[J]. 管理科学学报, 2010, 13(08): 78-88.</w:t>
      </w:r>
      <w:bookmarkEnd w:id="2"/>
    </w:p>
    <w:p w14:paraId="2459F8BD">
      <w:pPr>
        <w:numPr>
          <w:ilvl w:val="0"/>
          <w:numId w:val="1"/>
        </w:numPr>
        <w:ind w:left="0" w:leftChars="0" w:firstLine="403" w:firstLineChars="0"/>
      </w:pPr>
      <w:bookmarkStart w:id="3" w:name="_Ref6581"/>
      <w:r>
        <w:t>赵宏霞, 苗莉, 郭海玲. B2C 网购中在线评论对消费者购买决策影响的实证研究[J]. 中国软科学, 2015, (05): 118-132.</w:t>
      </w:r>
      <w:bookmarkEnd w:id="3"/>
    </w:p>
    <w:p w14:paraId="49C0A530">
      <w:pPr>
        <w:numPr>
          <w:numId w:val="0"/>
        </w:numPr>
      </w:pPr>
      <w:r>
        <w:rPr>
          <w:b/>
        </w:rPr>
        <w:t>英文参考文献</w:t>
      </w:r>
    </w:p>
    <w:p w14:paraId="70D612D4">
      <w:pPr>
        <w:numPr>
          <w:ilvl w:val="0"/>
          <w:numId w:val="1"/>
        </w:numPr>
        <w:ind w:left="0" w:leftChars="0" w:firstLine="403" w:firstLineChars="0"/>
      </w:pPr>
      <w:bookmarkStart w:id="4" w:name="_Ref5846"/>
      <w:r>
        <w:t>Akerlof, G. A. (1970). The market for "lemons": Quality uncertainty and the market mechanism.</w:t>
      </w:r>
      <w:r>
        <w:rPr>
          <w:rStyle w:val="11"/>
        </w:rPr>
        <w:t>The Quarterly Journal of Economics</w:t>
      </w:r>
      <w:r>
        <w:t>, 84(3), 488-500.</w:t>
      </w:r>
      <w:bookmarkEnd w:id="4"/>
    </w:p>
    <w:p w14:paraId="7385EAF3">
      <w:pPr>
        <w:numPr>
          <w:ilvl w:val="0"/>
          <w:numId w:val="1"/>
        </w:numPr>
        <w:ind w:left="0" w:leftChars="0" w:firstLine="403" w:firstLineChars="0"/>
      </w:pPr>
      <w:bookmarkStart w:id="5" w:name="_Ref6058"/>
      <w:r>
        <w:t>Baumeister, R. F., Bratslavsky, E., Finkenauer, C., &amp; Vohs, K. D. (2001). Bad is stronger than good.</w:t>
      </w:r>
      <w:r>
        <w:rPr>
          <w:rStyle w:val="11"/>
        </w:rPr>
        <w:t>Review of General Psychology</w:t>
      </w:r>
      <w:r>
        <w:t>, 5(4), 323-370.</w:t>
      </w:r>
      <w:bookmarkEnd w:id="5"/>
    </w:p>
    <w:p w14:paraId="66CA7AE4">
      <w:pPr>
        <w:numPr>
          <w:ilvl w:val="0"/>
          <w:numId w:val="1"/>
        </w:numPr>
        <w:ind w:left="0" w:leftChars="0" w:firstLine="403" w:firstLineChars="0"/>
      </w:pPr>
      <w:bookmarkStart w:id="6" w:name="_Ref5928"/>
      <w:r>
        <w:t>Chevalier, J. A., &amp; Mayzlin, D. (2006). The effect of word of mouth on sales: Online book reviews.</w:t>
      </w:r>
      <w:r>
        <w:rPr>
          <w:rStyle w:val="11"/>
        </w:rPr>
        <w:t>Journal of Marketing Research</w:t>
      </w:r>
      <w:r>
        <w:t>, 43(3), 345-354.</w:t>
      </w:r>
      <w:bookmarkEnd w:id="6"/>
    </w:p>
    <w:p w14:paraId="134D641D">
      <w:pPr>
        <w:numPr>
          <w:ilvl w:val="0"/>
          <w:numId w:val="1"/>
        </w:numPr>
        <w:ind w:left="0" w:leftChars="0" w:firstLine="403" w:firstLineChars="0"/>
      </w:pPr>
      <w:bookmarkStart w:id="7" w:name="_Ref6039"/>
      <w:r>
        <w:t>Li, Y., Chen, J., &amp; Zhang, H. (2020). Information processing of online reviews: The role of specific emotional expressions.</w:t>
      </w:r>
      <w:r>
        <w:rPr>
          <w:rStyle w:val="11"/>
        </w:rPr>
        <w:t>Information &amp; Management</w:t>
      </w:r>
      <w:r>
        <w:t>, 57(6), 103348.</w:t>
      </w:r>
      <w:bookmarkEnd w:id="7"/>
    </w:p>
    <w:p w14:paraId="7FAC7198">
      <w:pPr>
        <w:numPr>
          <w:ilvl w:val="0"/>
          <w:numId w:val="1"/>
        </w:numPr>
        <w:ind w:left="0" w:leftChars="0" w:firstLine="403" w:firstLineChars="0"/>
      </w:pPr>
      <w:bookmarkStart w:id="8" w:name="_Ref5957"/>
      <w:r>
        <w:t>Mudambi, S. M., &amp; Schuff, D. (2010). What makes a helpful online review? A study of customer reviews on Amazon.com.</w:t>
      </w:r>
      <w:r>
        <w:rPr>
          <w:rStyle w:val="11"/>
        </w:rPr>
        <w:t>MIS Quarterly</w:t>
      </w:r>
      <w:r>
        <w:t>, 34(1), 185-200.</w:t>
      </w:r>
      <w:bookmarkEnd w:id="8"/>
    </w:p>
    <w:p w14:paraId="6D560839">
      <w:pPr>
        <w:numPr>
          <w:ilvl w:val="0"/>
          <w:numId w:val="1"/>
        </w:numPr>
        <w:ind w:left="0" w:leftChars="0" w:firstLine="403" w:firstLineChars="0"/>
      </w:pPr>
      <w:bookmarkStart w:id="9" w:name="_Ref5640"/>
      <w:r>
        <w:t>Nelson, P. (1970). Information and consumer behavior.</w:t>
      </w:r>
      <w:r>
        <w:rPr>
          <w:rStyle w:val="11"/>
        </w:rPr>
        <w:t>Journal of Political Economy</w:t>
      </w:r>
      <w:r>
        <w:t>, 78(2), 311-329.</w:t>
      </w:r>
      <w:bookmarkEnd w:id="9"/>
    </w:p>
    <w:p w14:paraId="1F16E353">
      <w:pPr>
        <w:numPr>
          <w:ilvl w:val="0"/>
          <w:numId w:val="1"/>
        </w:numPr>
        <w:ind w:left="0" w:leftChars="0" w:firstLine="403" w:firstLineChars="0"/>
      </w:pPr>
      <w:bookmarkStart w:id="10" w:name="_Ref6094"/>
      <w:r>
        <w:t>Spence, M. (1973). Job market signaling.</w:t>
      </w:r>
      <w:r>
        <w:rPr>
          <w:rStyle w:val="11"/>
        </w:rPr>
        <w:t>The Quarterly Journal of Economics</w:t>
      </w:r>
      <w:r>
        <w:t>, 87(3), 355-374.</w:t>
      </w:r>
      <w:bookmarkEnd w:id="10"/>
    </w:p>
    <w:p w14:paraId="38092D1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8EE50"/>
    <w:multiLevelType w:val="singleLevel"/>
    <w:tmpl w:val="DFD8EE50"/>
    <w:lvl w:ilvl="0" w:tentative="0">
      <w:start w:val="1"/>
      <w:numFmt w:val="decimal"/>
      <w:suff w:val="nothing"/>
      <w:lvlText w:val="【%1】"/>
      <w:lvlJc w:val="left"/>
      <w:pPr>
        <w:ind w:left="0" w:firstLine="40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D17BB5"/>
    <w:rsid w:val="25D17BB5"/>
    <w:rsid w:val="25DA7F2D"/>
    <w:rsid w:val="39C35C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caption"/>
    <w:basedOn w:val="1"/>
    <w:qFormat/>
    <w:uiPriority w:val="0"/>
    <w:pPr>
      <w:spacing w:before="0" w:after="120"/>
    </w:pPr>
    <w:rPr>
      <w:i/>
    </w:rPr>
  </w:style>
  <w:style w:type="paragraph" w:styleId="6">
    <w:name w:val="Body Text"/>
    <w:basedOn w:val="1"/>
    <w:qFormat/>
    <w:uiPriority w:val="0"/>
    <w:pPr>
      <w:spacing w:before="180" w:after="180"/>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paragraph" w:customStyle="1" w:styleId="12">
    <w:name w:val="Compact"/>
    <w:basedOn w:val="6"/>
    <w:qFormat/>
    <w:uiPriority w:val="0"/>
    <w:pPr>
      <w:spacing w:before="36" w:after="36"/>
    </w:pPr>
  </w:style>
  <w:style w:type="table" w:customStyle="1" w:styleId="1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4862</Words>
  <Characters>7281</Characters>
  <Lines>0</Lines>
  <Paragraphs>0</Paragraphs>
  <TotalTime>36</TotalTime>
  <ScaleCrop>false</ScaleCrop>
  <LinksUpToDate>false</LinksUpToDate>
  <CharactersWithSpaces>7757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2026-06-05T09:56:00Z</dcterms:created>
  <dc:creator>。</dc:creator>
  <cp:lastModifiedBy>王璐瑶</cp:lastModifiedBy>
  <dcterms:modified xsi:type="dcterms:W3CDTF">2026-06-26T06:38:12Z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F5B54793DE1C41748D33BEC865400AE9_11</vt:lpwstr>
  </property>
  <property fmtid="{D5CDD505-2E9C-101B-9397-08002B2CF9AE}" pid="4" name="KSOTemplateDocerSaveRecord">
    <vt:lpwstr>eyJoZGlkIjoiYjVkN2EyZjJlYTUyYWZhZGI3YjdjZDQ3MTdkNzE4MzMiLCJ1c2VySWQiOiIxNjk0NjI0MTUxIn0=</vt:lpwstr>
  </property>
</Properties>
</file>