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Rapport de création — OBJ-OBJETS</w:t>
      </w:r>
    </w:p>
    <w:p>
      <w:pPr>
        <w:pStyle w:val="Heading2"/>
      </w:pPr>
      <w:r>
        <w:t xml:space="preserve">Synthèse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Objets créés :</w:t>
      </w:r>
      <w:r>
        <w:t xml:space="preserve"> 5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Échecs :</w:t>
      </w:r>
      <w:r>
        <w:t xml:space="preserve"> 0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Doublons détectés :</w:t>
      </w:r>
      <w:r>
        <w:t xml:space="preserve"> 0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Suppressions :</w:t>
      </w:r>
      <w:r>
        <w:t xml:space="preserve"> 0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Relations Lookup modifiées :</w:t>
      </w:r>
      <w:r>
        <w:t xml:space="preserve"> 0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Format des identifiants :</w:t>
      </w:r>
      <w:r>
        <w:t xml:space="preserve"> Conforme</w:t>
      </w:r>
    </w:p>
    <w:p>
      <w:pPr>
        <w:pStyle w:val="Heading2"/>
      </w:pPr>
      <w:r>
        <w:t xml:space="preserve">Objets créés</w:t>
      </w:r>
    </w:p>
    <w:tbl>
      <w:tblPr>
        <w:tblStyle w:val="TableGrid"/>
        <w:tblW w:w="9360" w:type="dxa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4" w:color="7F8C8D"/>
          <w:left w:val="single" w:sz="4" w:color="7F8C8D"/>
          <w:bottom w:val="single" w:sz="4" w:color="7F8C8D"/>
          <w:right w:val="single" w:sz="4" w:color="7F8C8D"/>
          <w:insideH w:val="single" w:sz="4" w:color="7F8C8D"/>
          <w:insideV w:val="single" w:sz="4" w:color="7F8C8D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ID Objet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Nom Objet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Actif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Verrouille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1872" w:type="dxa"/>
          </w:tcPr>
          <w:p>
            <w:r>
              <w:t xml:space="preserve">OBJ-000001</w:t>
            </w:r>
          </w:p>
        </w:tc>
        <w:tc>
          <w:tcPr>
            <w:tcW w:w="1872" w:type="dxa"/>
          </w:tcPr>
          <w:p>
            <w:r>
              <w:t xml:space="preserve">REF - Référentiels</w:t>
            </w:r>
          </w:p>
        </w:tc>
        <w:tc>
          <w:tcPr>
            <w:tcW w:w="1872" w:type="dxa"/>
          </w:tcPr>
          <w:p>
            <w:r>
              <w:t xml:space="preserve">Oui</w:t>
            </w:r>
          </w:p>
        </w:tc>
        <w:tc>
          <w:tcPr>
            <w:tcW w:w="1872" w:type="dxa"/>
          </w:tcPr>
          <w:p>
            <w:r>
              <w:t xml:space="preserve">Non</w:t>
            </w:r>
          </w:p>
        </w:tc>
        <w:tc>
          <w:tcPr>
            <w:tcW w:w="1872" w:type="dxa"/>
          </w:tcPr>
          <w:p>
            <w:r>
              <w:t xml:space="preserve">Référentiel principal DSE.</w:t>
            </w:r>
          </w:p>
        </w:tc>
      </w:tr>
      <w:tr>
        <w:tc>
          <w:tcPr>
            <w:tcW w:w="1872" w:type="dxa"/>
          </w:tcPr>
          <w:p>
            <w:r>
              <w:t xml:space="preserve">OBJ-000002</w:t>
            </w:r>
          </w:p>
        </w:tc>
        <w:tc>
          <w:tcPr>
            <w:tcW w:w="1872" w:type="dxa"/>
          </w:tcPr>
          <w:p>
            <w:r>
              <w:t xml:space="preserve">OBJ - Objets</w:t>
            </w:r>
          </w:p>
        </w:tc>
        <w:tc>
          <w:tcPr>
            <w:tcW w:w="1872" w:type="dxa"/>
          </w:tcPr>
          <w:p>
            <w:r>
              <w:t xml:space="preserve">Oui</w:t>
            </w:r>
          </w:p>
        </w:tc>
        <w:tc>
          <w:tcPr>
            <w:tcW w:w="1872" w:type="dxa"/>
          </w:tcPr>
          <w:p>
            <w:r>
              <w:t xml:space="preserve">Non</w:t>
            </w:r>
          </w:p>
        </w:tc>
        <w:tc>
          <w:tcPr>
            <w:tcW w:w="1872" w:type="dxa"/>
          </w:tcPr>
          <w:p>
            <w:r>
              <w:t xml:space="preserve">Registre central des objets DSE.</w:t>
            </w:r>
          </w:p>
        </w:tc>
      </w:tr>
      <w:tr>
        <w:tc>
          <w:tcPr>
            <w:tcW w:w="1872" w:type="dxa"/>
          </w:tcPr>
          <w:p>
            <w:r>
              <w:t xml:space="preserve">OBJ-000003</w:t>
            </w:r>
          </w:p>
        </w:tc>
        <w:tc>
          <w:tcPr>
            <w:tcW w:w="1872" w:type="dxa"/>
          </w:tcPr>
          <w:p>
            <w:r>
              <w:t xml:space="preserve">JRN - Journal Global</w:t>
            </w:r>
          </w:p>
        </w:tc>
        <w:tc>
          <w:tcPr>
            <w:tcW w:w="1872" w:type="dxa"/>
          </w:tcPr>
          <w:p>
            <w:r>
              <w:t xml:space="preserve">Oui</w:t>
            </w:r>
          </w:p>
        </w:tc>
        <w:tc>
          <w:tcPr>
            <w:tcW w:w="1872" w:type="dxa"/>
          </w:tcPr>
          <w:p>
            <w:r>
              <w:t xml:space="preserve">Non</w:t>
            </w:r>
          </w:p>
        </w:tc>
        <w:tc>
          <w:tcPr>
            <w:tcW w:w="1872" w:type="dxa"/>
          </w:tcPr>
          <w:p>
            <w:r>
              <w:t xml:space="preserve">Journal central des actions et événements DSE.</w:t>
            </w:r>
          </w:p>
        </w:tc>
      </w:tr>
      <w:tr>
        <w:tc>
          <w:tcPr>
            <w:tcW w:w="1872" w:type="dxa"/>
          </w:tcPr>
          <w:p>
            <w:r>
              <w:t xml:space="preserve">OBJ-000004</w:t>
            </w:r>
          </w:p>
        </w:tc>
        <w:tc>
          <w:tcPr>
            <w:tcW w:w="1872" w:type="dxa"/>
          </w:tcPr>
          <w:p>
            <w:r>
              <w:t xml:space="preserve">CLI - Comptes</w:t>
            </w:r>
          </w:p>
        </w:tc>
        <w:tc>
          <w:tcPr>
            <w:tcW w:w="1872" w:type="dxa"/>
          </w:tcPr>
          <w:p>
            <w:r>
              <w:t xml:space="preserve">Oui</w:t>
            </w:r>
          </w:p>
        </w:tc>
        <w:tc>
          <w:tcPr>
            <w:tcW w:w="1872" w:type="dxa"/>
          </w:tcPr>
          <w:p>
            <w:r>
              <w:t xml:space="preserve">Non</w:t>
            </w:r>
          </w:p>
        </w:tc>
        <w:tc>
          <w:tcPr>
            <w:tcW w:w="1872" w:type="dxa"/>
          </w:tcPr>
          <w:p>
            <w:r>
              <w:t xml:space="preserve">Gestion des comptes et utilisateurs.</w:t>
            </w:r>
          </w:p>
        </w:tc>
      </w:tr>
      <w:tr>
        <w:tc>
          <w:tcPr>
            <w:tcW w:w="1872" w:type="dxa"/>
          </w:tcPr>
          <w:p>
            <w:r>
              <w:t xml:space="preserve">OBJ-000005</w:t>
            </w:r>
          </w:p>
        </w:tc>
        <w:tc>
          <w:tcPr>
            <w:tcW w:w="1872" w:type="dxa"/>
          </w:tcPr>
          <w:p>
            <w:r>
              <w:t xml:space="preserve">PROJ - Projets</w:t>
            </w:r>
          </w:p>
        </w:tc>
        <w:tc>
          <w:tcPr>
            <w:tcW w:w="1872" w:type="dxa"/>
          </w:tcPr>
          <w:p>
            <w:r>
              <w:t xml:space="preserve">Oui</w:t>
            </w:r>
          </w:p>
        </w:tc>
        <w:tc>
          <w:tcPr>
            <w:tcW w:w="1872" w:type="dxa"/>
          </w:tcPr>
          <w:p>
            <w:r>
              <w:t xml:space="preserve">Non</w:t>
            </w:r>
          </w:p>
        </w:tc>
        <w:tc>
          <w:tcPr>
            <w:tcW w:w="1872" w:type="dxa"/>
          </w:tcPr>
          <w:p>
            <w:r>
              <w:t xml:space="preserve">Gestion centralisée des projets DSE.</w:t>
            </w:r>
          </w:p>
        </w:tc>
      </w:tr>
    </w:tbl>
    <w:p/>
    <w:p>
      <w:pPr>
        <w:pStyle w:val="Heading2"/>
      </w:pPr>
      <w:r>
        <w:t xml:space="preserve">Contrôle de conformité</w:t>
      </w:r>
    </w:p>
    <w:p>
      <w:pPr>
        <w:pStyle w:val="ListParagraph"/>
        <w:numPr>
          <w:ilvl w:val="0"/>
          <w:numId w:val="1"/>
        </w:numPr>
      </w:pPr>
      <w:r>
        <w:t xml:space="preserve">Les identifiants sont uniques et respectent la séquence OBJ-000001 à OBJ-000005.</w:t>
      </w:r>
    </w:p>
    <w:p>
      <w:pPr>
        <w:pStyle w:val="ListParagraph"/>
        <w:numPr>
          <w:ilvl w:val="0"/>
          <w:numId w:val="1"/>
        </w:numPr>
      </w:pPr>
      <w:r>
        <w:t xml:space="preserve">Les noms d’objet sont uniques.</w:t>
      </w:r>
    </w:p>
    <w:p>
      <w:pPr>
        <w:pStyle w:val="ListParagraph"/>
        <w:numPr>
          <w:ilvl w:val="0"/>
          <w:numId w:val="1"/>
        </w:numPr>
      </w:pPr>
      <w:r>
        <w:t xml:space="preserve">Les cinq objets sont actifs et non verrouillés.</w:t>
      </w:r>
    </w:p>
    <w:p>
      <w:pPr>
        <w:pStyle w:val="ListParagraph"/>
        <w:numPr>
          <w:ilvl w:val="0"/>
          <w:numId w:val="1"/>
        </w:numPr>
      </w:pPr>
      <w:r>
        <w:t xml:space="preserve">Aucun champ Choice ou MultiChoice n’a été ajouté.</w:t>
      </w:r>
    </w:p>
    <w:p>
      <w:pPr>
        <w:pStyle w:val="ListParagraph"/>
        <w:numPr>
          <w:ilvl w:val="0"/>
          <w:numId w:val="1"/>
        </w:numPr>
      </w:pPr>
      <w:r>
        <w:t xml:space="preserve">Les colonnes REF restent des Lookup et sont vides sur ces cinq objets, car aucune affectation REF n’était demandée lors de la création.</w:t>
      </w:r>
    </w:p>
    <w:p>
      <w:pPr>
        <w:pStyle w:val="ListParagraph"/>
        <w:numPr>
          <w:ilvl w:val="0"/>
          <w:numId w:val="1"/>
        </w:numPr>
      </w:pPr>
      <w:r>
        <w:t xml:space="preserve">Aucune donnée n’a été supprimée.</w:t>
      </w:r>
    </w:p>
    <w:p>
      <w:pPr>
        <w:pStyle w:val="Heading2"/>
      </w:pPr>
      <w:r>
        <w:t xml:space="preserve">Colonne ID Objet</w:t>
      </w:r>
    </w:p>
    <w:p>
      <w:pPr>
        <w:pStyle w:val="ListParagraph"/>
        <w:numPr>
          <w:ilvl w:val="0"/>
          <w:numId w:val="1"/>
        </w:numPr>
      </w:pPr>
      <w:r>
        <w:t xml:space="preserve">Type : une seule ligne de texte.</w:t>
      </w:r>
    </w:p>
    <w:p>
      <w:pPr>
        <w:pStyle w:val="ListParagraph"/>
        <w:numPr>
          <w:ilvl w:val="0"/>
          <w:numId w:val="1"/>
        </w:numPr>
      </w:pPr>
      <w:r>
        <w:t xml:space="preserve">Obligatoire : Oui.</w:t>
      </w:r>
    </w:p>
    <w:p>
      <w:pPr>
        <w:pStyle w:val="ListParagraph"/>
        <w:numPr>
          <w:ilvl w:val="0"/>
          <w:numId w:val="1"/>
        </w:numPr>
      </w:pPr>
      <w:r>
        <w:t xml:space="preserve">Valeurs uniques : Oui.</w:t>
      </w:r>
    </w:p>
    <w:p>
      <w:pPr>
        <w:pStyle w:val="ListParagraph"/>
        <w:numPr>
          <w:ilvl w:val="0"/>
          <w:numId w:val="1"/>
        </w:numPr>
      </w:pPr>
      <w:r>
        <w:t xml:space="preserve">Visible dans la vue principale : Oui.</w:t>
      </w:r>
    </w:p>
    <w:p>
      <w:pPr>
        <w:pStyle w:val="ListParagraph"/>
        <w:numPr>
          <w:ilvl w:val="0"/>
          <w:numId w:val="1"/>
        </w:numPr>
      </w:pPr>
      <w:r>
        <w:t xml:space="preserve">Validation : préfixe OBJ- suivi de six chiffres.</w:t>
      </w:r>
    </w:p>
    <w:p>
      <w:pPr>
        <w:pStyle w:val="Heading2"/>
      </w:pPr>
      <w:r>
        <w:t xml:space="preserve">Conclusion</w:t>
      </w:r>
    </w:p>
    <w:p>
      <w:pPr>
        <w:pStyle w:val="Heading1"/>
      </w:pPr>
      <w:r>
        <w:t xml:space="preserve">✅ OBJ CRÉÉS</w:t>
      </w:r>
    </w:p>
    <w:p>
      <w:pPr>
        <w:pStyle w:val="Normal"/>
      </w:pPr>
      <w:r>
        <w:t xml:space="preserve">Les cinq premiers objets réels ont été créés et contrôlés dans la liste OBJ-OBJETS.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1F4E78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1F4E78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1F4E78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8F8BA3274B174F88AD87175120E719" ma:contentTypeVersion="10" ma:contentTypeDescription="Crée un document." ma:contentTypeScope="" ma:versionID="6760ff901b75dae024357594a58816ea">
  <xsd:schema xmlns:xsd="http://www.w3.org/2001/XMLSchema" xmlns:xs="http://www.w3.org/2001/XMLSchema" xmlns:p="http://schemas.microsoft.com/office/2006/metadata/properties" xmlns:ns2="a0a43d7f-69bf-4a33-81a8-723658f89159" xmlns:ns3="10542f6c-bfff-4234-92b5-1d884106cc52" targetNamespace="http://schemas.microsoft.com/office/2006/metadata/properties" ma:root="true" ma:fieldsID="ee14a8b15aadfe4797e3acb850aebb9e" ns2:_="" ns3:_="">
    <xsd:import namespace="a0a43d7f-69bf-4a33-81a8-723658f89159"/>
    <xsd:import namespace="10542f6c-bfff-4234-92b5-1d884106c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43d7f-69bf-4a33-81a8-723658f891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17695ec9-d08f-4151-ad50-b36eee364c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42f6c-bfff-4234-92b5-1d884106cc5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a717747-fed1-40cb-b669-771a8f37db5a}" ma:internalName="TaxCatchAll" ma:showField="CatchAllData" ma:web="10542f6c-bfff-4234-92b5-1d884106c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a43d7f-69bf-4a33-81a8-723658f89159">
      <Terms xmlns="http://schemas.microsoft.com/office/infopath/2007/PartnerControls"/>
    </lcf76f155ced4ddcb4097134ff3c332f>
    <TaxCatchAll xmlns="10542f6c-bfff-4234-92b5-1d884106cc52" xsi:nil="true"/>
  </documentManagement>
</p:properties>
</file>

<file path=customXml/itemProps1.xml><?xml version="1.0" encoding="utf-8"?>
<ds:datastoreItem xmlns:ds="http://schemas.openxmlformats.org/officeDocument/2006/customXml" ds:itemID="{BB0BD2A4-BBDF-45AB-A13A-95A6C7F4CB0F}"/>
</file>

<file path=customXml/itemProps2.xml><?xml version="1.0" encoding="utf-8"?>
<ds:datastoreItem xmlns:ds="http://schemas.openxmlformats.org/officeDocument/2006/customXml" ds:itemID="{34BF5B1D-8A4D-4BDC-9B82-D653FC13588A}"/>
</file>

<file path=customXml/itemProps3.xml><?xml version="1.0" encoding="utf-8"?>
<ds:datastoreItem xmlns:ds="http://schemas.openxmlformats.org/officeDocument/2006/customXml" ds:itemID="{4284FEA0-E8DA-45F6-BA4C-68F452D68FB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0x010100688F8BA3274B174F88AD87175120E719</vt:lpwstr>
  </property>
  <property fmtid="{D5CDD505-2E9C-101B-9397-08002B2CF9AE}" pid="4" name="docLang">
    <vt:lpwstr>fr</vt:lpwstr>
  </property>
  <property fmtid="{D5CDD505-2E9C-101B-9397-08002B2CF9AE}" pid="5" name="MediaServiceImageTags">
    <vt:lpwstr/>
  </property>
</Properties>
</file>