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d’audit SharePoint</w:t>
      </w:r>
    </w:p>
    <w:p>
      <w:pPr>
        <w:pStyle w:val="Normal"/>
      </w:pPr>
      <w:r>
        <w:rPr>
          <w:b/>
        </w:rPr>
        <w:t xml:space="preserve">Site :</w:t>
      </w:r>
      <w:r>
        <w:t xml:space="preserve"> DEM - Ecosysteme</w:t>
      </w:r>
    </w:p>
    <w:p>
      <w:pPr>
        <w:pStyle w:val="Normal"/>
      </w:pPr>
      <w:r>
        <w:rPr>
          <w:b/>
        </w:rPr>
        <w:t xml:space="preserve">Périmètre :</w:t>
      </w:r>
      <w:r>
        <w:t xml:space="preserve"> 36 listes et bibliothèques utilisateur</w:t>
      </w:r>
    </w:p>
    <w:p>
      <w:pPr>
        <w:pStyle w:val="Normal"/>
      </w:pPr>
      <w:r>
        <w:rPr>
          <w:b/>
        </w:rPr>
        <w:t xml:space="preserve">Objet :</w:t>
      </w:r>
      <w:r>
        <w:t xml:space="preserve"> structure, gouvernance, vues, qualité du modèle, volumétrie et automatisations visibles</w:t>
      </w:r>
    </w:p>
    <w:p>
      <w:pPr>
        <w:pStyle w:val="Heading2"/>
      </w:pPr>
      <w:r>
        <w:t xml:space="preserve">1. Synthèse exécutive</w:t>
      </w:r>
    </w:p>
    <w:p>
      <w:pPr>
        <w:pStyle w:val="Normal"/>
      </w:pPr>
      <w:r>
        <w:t xml:space="preserve">Le site contient </w:t>
      </w:r>
      <w:r>
        <w:rPr>
          <w:b/>
        </w:rPr>
        <w:t xml:space="preserve">36 composants</w:t>
      </w:r>
      <w:r>
        <w:t xml:space="preserve"> : </w:t>
      </w:r>
      <w:r>
        <w:rPr>
          <w:b/>
        </w:rPr>
        <w:t xml:space="preserve">33 listes</w:t>
      </w:r>
      <w:r>
        <w:t xml:space="preserve"> et </w:t>
      </w:r>
      <w:r>
        <w:rPr>
          <w:b/>
        </w:rPr>
        <w:t xml:space="preserve">3 bibliothèques</w:t>
      </w:r>
      <w:r>
        <w:t xml:space="preserve">, pour environ </w:t>
      </w:r>
      <w:r>
        <w:rPr>
          <w:b/>
        </w:rPr>
        <w:t xml:space="preserve">11 487 éléments</w:t>
      </w:r>
      <w:r>
        <w:t xml:space="preserve"> au moment de l’inventaire. </w:t>
      </w:r>
      <w:r>
        <w:rPr>
          <w:b/>
        </w:rPr>
        <w:t xml:space="preserve">20 composants sont vides</w:t>
      </w:r>
      <w:r>
        <w:t xml:space="preserve"> : la liste PROJ - Projets et 19 listes VIL. La liste </w:t>
      </w:r>
      <w:r>
        <w:rPr>
          <w:b/>
        </w:rPr>
        <w:t xml:space="preserve">VIL - Europe Ouest</w:t>
      </w:r>
      <w:r>
        <w:t xml:space="preserve"> concentre à elle seule </w:t>
      </w:r>
      <w:r>
        <w:rPr>
          <w:b/>
        </w:rPr>
        <w:t xml:space="preserve">9 450 éléments</w:t>
      </w:r>
      <w:r>
        <w:t xml:space="preserve">.</w:t>
      </w:r>
    </w:p>
    <w:p>
      <w:pPr>
        <w:pStyle w:val="Heading3"/>
      </w:pPr>
      <w:r>
        <w:t xml:space="preserve">Niveau de risque global : élevé</w:t>
      </w:r>
    </w:p>
    <w:p>
      <w:pPr>
        <w:pStyle w:val="Normal"/>
      </w:pPr>
      <w:r>
        <w:t xml:space="preserve">Les versions sont activées sur l’ensemble des composants examinés, ce qui est positif. Le modèle présente toutefois plusieurs risques structurants :</w:t>
      </w:r>
    </w:p>
    <w:p>
      <w:pPr>
        <w:pStyle w:val="ListParagraph"/>
        <w:numPr>
          <w:ilvl w:val="0"/>
          <w:numId w:val="2"/>
        </w:numPr>
      </w:pPr>
      <w:r>
        <w:rPr>
          <w:b/>
        </w:rPr>
        <w:t xml:space="preserve">Fragmentation du référentiel des villes</w:t>
      </w:r>
      <w:r>
        <w:t xml:space="preserve"> en 20 listes identiques, dont 19 vides.</w:t>
      </w:r>
    </w:p>
    <w:p>
      <w:pPr>
        <w:pStyle w:val="ListParagraph"/>
        <w:numPr>
          <w:ilvl w:val="0"/>
          <w:numId w:val="2"/>
        </w:numPr>
      </w:pPr>
      <w:r>
        <w:rPr>
          <w:b/>
        </w:rPr>
        <w:t xml:space="preserve">Identifiants métier non uniques</w:t>
      </w:r>
      <w:r>
        <w:t xml:space="preserve"> dans plusieurs listes officielles.</w:t>
      </w:r>
    </w:p>
    <w:p>
      <w:pPr>
        <w:pStyle w:val="ListParagraph"/>
        <w:numPr>
          <w:ilvl w:val="0"/>
          <w:numId w:val="2"/>
        </w:numPr>
      </w:pPr>
      <w:r>
        <w:rPr>
          <w:b/>
        </w:rPr>
        <w:t xml:space="preserve">Types de colonnes inadaptés</w:t>
      </w:r>
      <w:r>
        <w:t xml:space="preserve"> : dates, nombres et URL stockés en texte.</w:t>
      </w:r>
    </w:p>
    <w:p>
      <w:pPr>
        <w:pStyle w:val="ListParagraph"/>
        <w:numPr>
          <w:ilvl w:val="0"/>
          <w:numId w:val="2"/>
        </w:numPr>
      </w:pPr>
      <w:r>
        <w:rPr>
          <w:b/>
        </w:rPr>
        <w:t xml:space="preserve">Colonnes doublonnées ou héritées</w:t>
      </w:r>
      <w:r>
        <w:t xml:space="preserve"> dans CLI, Relations, DOC, PROJ et JRN.</w:t>
      </w:r>
    </w:p>
    <w:p>
      <w:pPr>
        <w:pStyle w:val="ListParagraph"/>
        <w:numPr>
          <w:ilvl w:val="0"/>
          <w:numId w:val="2"/>
        </w:numPr>
      </w:pPr>
      <w:r>
        <w:rPr>
          <w:b/>
        </w:rPr>
        <w:t xml:space="preserve">Lookups potentiellement cassés ou non gouvernés</w:t>
      </w:r>
      <w:r>
        <w:t xml:space="preserve">, visant des listes absentes de l’inventaire utilisateur.</w:t>
      </w:r>
    </w:p>
    <w:p>
      <w:pPr>
        <w:pStyle w:val="ListParagraph"/>
        <w:numPr>
          <w:ilvl w:val="0"/>
          <w:numId w:val="2"/>
        </w:numPr>
      </w:pPr>
      <w:r>
        <w:rPr>
          <w:b/>
        </w:rPr>
        <w:t xml:space="preserve">Vues obsolètes</w:t>
      </w:r>
      <w:r>
        <w:t xml:space="preserve">, contenant des champs absents du schéma visible.</w:t>
      </w:r>
    </w:p>
    <w:p>
      <w:pPr>
        <w:pStyle w:val="ListParagraph"/>
        <w:numPr>
          <w:ilvl w:val="0"/>
          <w:numId w:val="2"/>
        </w:numPr>
      </w:pPr>
      <w:r>
        <w:rPr>
          <w:b/>
        </w:rPr>
        <w:t xml:space="preserve">Aucune Rule, Quick Step ou approbation native détectée</w:t>
      </w:r>
      <w:r>
        <w:t xml:space="preserve"> sur le périmètre métier contrôlé.</w:t>
      </w:r>
    </w:p>
    <w:p>
      <w:pPr>
        <w:pStyle w:val="ListParagraph"/>
        <w:numPr>
          <w:ilvl w:val="0"/>
          <w:numId w:val="2"/>
        </w:numPr>
      </w:pPr>
      <w:r>
        <w:rPr>
          <w:b/>
        </w:rPr>
        <w:t xml:space="preserve">Permissions uniques</w:t>
      </w:r>
      <w:r>
        <w:t xml:space="preserve"> sur DOC - Documents et DSE - Coffre Ford, à auditer séparément.</w:t>
      </w:r>
    </w:p>
    <w:p>
      <w:pPr>
        <w:pStyle w:val="Heading2"/>
      </w:pPr>
      <w:r>
        <w:t xml:space="preserve">2. Inventaire</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Groupe</w:t>
            </w:r>
          </w:p>
        </w:tc>
        <w:tc>
          <w:tcPr>
            <w:tcW w:w="3120" w:type="dxa"/>
            <w:shd w:val="clear" w:color="auto" w:fill="D9EAF7"/>
          </w:tcPr>
          <w:p>
            <w:r>
              <w:rPr>
                <w:b/>
              </w:rPr>
              <w:t xml:space="preserve">Composants</w:t>
            </w:r>
          </w:p>
        </w:tc>
        <w:tc>
          <w:tcPr>
            <w:tcW w:w="3120" w:type="dxa"/>
            <w:shd w:val="clear" w:color="auto" w:fill="D9EAF7"/>
          </w:tcPr>
          <w:p>
            <w:r>
              <w:rPr>
                <w:b/>
              </w:rPr>
              <w:t xml:space="preserve">Volumétrie / constat</w:t>
            </w:r>
          </w:p>
        </w:tc>
      </w:tr>
      <w:tr>
        <w:tc>
          <w:tcPr>
            <w:tcW w:w="3120" w:type="dxa"/>
          </w:tcPr>
          <w:p>
            <w:r>
              <w:t xml:space="preserve">Listes métier principales</w:t>
            </w:r>
          </w:p>
        </w:tc>
        <w:tc>
          <w:tcPr>
            <w:tcW w:w="3120" w:type="dxa"/>
          </w:tcPr>
          <w:p>
            <w:r>
              <w:t xml:space="preserve">7</w:t>
            </w:r>
          </w:p>
        </w:tc>
        <w:tc>
          <w:tcPr>
            <w:tcW w:w="3120" w:type="dxa"/>
          </w:tcPr>
          <w:p>
            <w:r>
              <w:t xml:space="preserve">CLI - Comptes, CLI - Relations, PROJ - Projets, DOC - Documents, JRN - Journal Global, OBJ-OBJETS, REF-Matrice des accès et groupe</w:t>
            </w:r>
          </w:p>
        </w:tc>
      </w:tr>
      <w:tr>
        <w:tc>
          <w:tcPr>
            <w:tcW w:w="3120" w:type="dxa"/>
          </w:tcPr>
          <w:p>
            <w:r>
              <w:t xml:space="preserve">Référentiels</w:t>
            </w:r>
          </w:p>
        </w:tc>
        <w:tc>
          <w:tcPr>
            <w:tcW w:w="3120" w:type="dxa"/>
          </w:tcPr>
          <w:p>
            <w:r>
              <w:t xml:space="preserve">7</w:t>
            </w:r>
          </w:p>
        </w:tc>
        <w:tc>
          <w:tcPr>
            <w:tcW w:w="3120" w:type="dxa"/>
          </w:tcPr>
          <w:p>
            <w:r>
              <w:t xml:space="preserve">PAY, REG, DEP, REF, REF-N-01, REF-N-02, REF-N-03</w:t>
            </w:r>
          </w:p>
        </w:tc>
      </w:tr>
      <w:tr>
        <w:tc>
          <w:tcPr>
            <w:tcW w:w="3120" w:type="dxa"/>
          </w:tcPr>
          <w:p>
            <w:r>
              <w:t xml:space="preserve">Référentiels de villes</w:t>
            </w:r>
          </w:p>
        </w:tc>
        <w:tc>
          <w:tcPr>
            <w:tcW w:w="3120" w:type="dxa"/>
          </w:tcPr>
          <w:p>
            <w:r>
              <w:t xml:space="preserve">20</w:t>
            </w:r>
          </w:p>
        </w:tc>
        <w:tc>
          <w:tcPr>
            <w:tcW w:w="3120" w:type="dxa"/>
          </w:tcPr>
          <w:p>
            <w:r>
              <w:t xml:space="preserve">Une liste chargée à 9 450 éléments, 19 listes vides</w:t>
            </w:r>
          </w:p>
        </w:tc>
      </w:tr>
      <w:tr>
        <w:tc>
          <w:tcPr>
            <w:tcW w:w="3120" w:type="dxa"/>
          </w:tcPr>
          <w:p>
            <w:r>
              <w:t xml:space="preserve">Bibliothèques</w:t>
            </w:r>
          </w:p>
        </w:tc>
        <w:tc>
          <w:tcPr>
            <w:tcW w:w="3120" w:type="dxa"/>
          </w:tcPr>
          <w:p>
            <w:r>
              <w:t xml:space="preserve">3</w:t>
            </w:r>
          </w:p>
        </w:tc>
        <w:tc>
          <w:tcPr>
            <w:tcW w:w="3120" w:type="dxa"/>
          </w:tcPr>
          <w:p>
            <w:r>
              <w:t xml:space="preserve">DOC - Documents, DSE - Coffre Ford, ZZ-ARCHIVE-DSE-Ressources d’assistant</w:t>
            </w:r>
          </w:p>
        </w:tc>
      </w:tr>
      <w:tr>
        <w:tc>
          <w:tcPr>
            <w:tcW w:w="3120" w:type="dxa"/>
          </w:tcPr>
          <w:p>
            <w:r>
              <w:t xml:space="preserve">Composants vides</w:t>
            </w:r>
          </w:p>
        </w:tc>
        <w:tc>
          <w:tcPr>
            <w:tcW w:w="3120" w:type="dxa"/>
          </w:tcPr>
          <w:p>
            <w:r>
              <w:t xml:space="preserve">20</w:t>
            </w:r>
          </w:p>
        </w:tc>
        <w:tc>
          <w:tcPr>
            <w:tcW w:w="3120" w:type="dxa"/>
          </w:tcPr>
          <w:p>
            <w:r>
              <w:t xml:space="preserve">PROJ - Projets et 19 listes VIL</w:t>
            </w:r>
          </w:p>
        </w:tc>
      </w:tr>
    </w:tbl>
    <w:p/>
    <w:p>
      <w:pPr>
        <w:pStyle w:val="Heading3"/>
      </w:pPr>
      <w:r>
        <w:t xml:space="preserve">Principales volumétrie</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Composant</w:t>
            </w:r>
          </w:p>
        </w:tc>
        <w:tc>
          <w:tcPr>
            <w:tcW w:w="3120" w:type="dxa"/>
            <w:shd w:val="clear" w:color="auto" w:fill="D9EAF7"/>
          </w:tcPr>
          <w:p>
            <w:r>
              <w:rPr>
                <w:b/>
              </w:rPr>
              <w:t xml:space="preserve">Éléments</w:t>
            </w:r>
          </w:p>
        </w:tc>
        <w:tc>
          <w:tcPr>
            <w:tcW w:w="3120" w:type="dxa"/>
            <w:shd w:val="clear" w:color="auto" w:fill="D9EAF7"/>
          </w:tcPr>
          <w:p>
            <w:r>
              <w:rPr>
                <w:b/>
              </w:rPr>
              <w:t xml:space="preserve">Observation</w:t>
            </w:r>
          </w:p>
        </w:tc>
      </w:tr>
      <w:tr>
        <w:tc>
          <w:tcPr>
            <w:tcW w:w="3120" w:type="dxa"/>
          </w:tcPr>
          <w:p>
            <w:r>
              <w:t xml:space="preserve">VIL - Europe Ouest</w:t>
            </w:r>
          </w:p>
        </w:tc>
        <w:tc>
          <w:tcPr>
            <w:tcW w:w="3120" w:type="dxa"/>
          </w:tcPr>
          <w:p>
            <w:r>
              <w:t xml:space="preserve">9 450</w:t>
            </w:r>
          </w:p>
        </w:tc>
        <w:tc>
          <w:tcPr>
            <w:tcW w:w="3120" w:type="dxa"/>
          </w:tcPr>
          <w:p>
            <w:r>
              <w:t xml:space="preserve">Liste dominante ; indexation et vues filtrées indispensables</w:t>
            </w:r>
          </w:p>
        </w:tc>
      </w:tr>
      <w:tr>
        <w:tc>
          <w:tcPr>
            <w:tcW w:w="3120" w:type="dxa"/>
          </w:tcPr>
          <w:p>
            <w:r>
              <w:t xml:space="preserve">DSE - Coffre Ford</w:t>
            </w:r>
          </w:p>
        </w:tc>
        <w:tc>
          <w:tcPr>
            <w:tcW w:w="3120" w:type="dxa"/>
          </w:tcPr>
          <w:p>
            <w:r>
              <w:t xml:space="preserve">644</w:t>
            </w:r>
          </w:p>
        </w:tc>
        <w:tc>
          <w:tcPr>
            <w:tcW w:w="3120" w:type="dxa"/>
          </w:tcPr>
          <w:p>
            <w:r>
              <w:t xml:space="preserve">Bibliothèque avec permissions uniques et presque aucune métadonnée métier</w:t>
            </w:r>
          </w:p>
        </w:tc>
      </w:tr>
      <w:tr>
        <w:tc>
          <w:tcPr>
            <w:tcW w:w="3120" w:type="dxa"/>
          </w:tcPr>
          <w:p>
            <w:r>
              <w:t xml:space="preserve">DOC - Documents</w:t>
            </w:r>
          </w:p>
        </w:tc>
        <w:tc>
          <w:tcPr>
            <w:tcW w:w="3120" w:type="dxa"/>
          </w:tcPr>
          <w:p>
            <w:r>
              <w:t xml:space="preserve">438</w:t>
            </w:r>
          </w:p>
        </w:tc>
        <w:tc>
          <w:tcPr>
            <w:tcW w:w="3120" w:type="dxa"/>
          </w:tcPr>
          <w:p>
            <w:r>
              <w:t xml:space="preserve">Bibliothèque métier très riche, permissions uniques</w:t>
            </w:r>
          </w:p>
        </w:tc>
      </w:tr>
      <w:tr>
        <w:tc>
          <w:tcPr>
            <w:tcW w:w="3120" w:type="dxa"/>
          </w:tcPr>
          <w:p>
            <w:r>
              <w:t xml:space="preserve">REF - Referentiels</w:t>
            </w:r>
          </w:p>
        </w:tc>
        <w:tc>
          <w:tcPr>
            <w:tcW w:w="3120" w:type="dxa"/>
          </w:tcPr>
          <w:p>
            <w:r>
              <w:t xml:space="preserve">215 à 220</w:t>
            </w:r>
          </w:p>
        </w:tc>
        <w:tc>
          <w:tcPr>
            <w:tcW w:w="3120" w:type="dxa"/>
          </w:tcPr>
          <w:p>
            <w:r>
              <w:t xml:space="preserve">Écart observé pendant l’audit, signe d’activité concurrente</w:t>
            </w:r>
          </w:p>
        </w:tc>
      </w:tr>
      <w:tr>
        <w:tc>
          <w:tcPr>
            <w:tcW w:w="3120" w:type="dxa"/>
          </w:tcPr>
          <w:p>
            <w:r>
              <w:t xml:space="preserve">PAY - Pays</w:t>
            </w:r>
          </w:p>
        </w:tc>
        <w:tc>
          <w:tcPr>
            <w:tcW w:w="3120" w:type="dxa"/>
          </w:tcPr>
          <w:p>
            <w:r>
              <w:t xml:space="preserve">195</w:t>
            </w:r>
          </w:p>
        </w:tc>
        <w:tc>
          <w:tcPr>
            <w:tcW w:w="3120" w:type="dxa"/>
          </w:tcPr>
          <w:p>
            <w:r>
              <w:t xml:space="preserve">Référentiel complet annoncé</w:t>
            </w:r>
          </w:p>
        </w:tc>
      </w:tr>
      <w:tr>
        <w:tc>
          <w:tcPr>
            <w:tcW w:w="3120" w:type="dxa"/>
          </w:tcPr>
          <w:p>
            <w:r>
              <w:t xml:space="preserve">REF-N-03</w:t>
            </w:r>
          </w:p>
        </w:tc>
        <w:tc>
          <w:tcPr>
            <w:tcW w:w="3120" w:type="dxa"/>
          </w:tcPr>
          <w:p>
            <w:r>
              <w:t xml:space="preserve">190 à 193</w:t>
            </w:r>
          </w:p>
        </w:tc>
        <w:tc>
          <w:tcPr>
            <w:tcW w:w="3120" w:type="dxa"/>
          </w:tcPr>
          <w:p>
            <w:r>
              <w:t xml:space="preserve">Écart observé pendant l’audit</w:t>
            </w:r>
          </w:p>
        </w:tc>
      </w:tr>
      <w:tr>
        <w:tc>
          <w:tcPr>
            <w:tcW w:w="3120" w:type="dxa"/>
          </w:tcPr>
          <w:p>
            <w:r>
              <w:t xml:space="preserve">JRN - Journal Global</w:t>
            </w:r>
          </w:p>
        </w:tc>
        <w:tc>
          <w:tcPr>
            <w:tcW w:w="3120" w:type="dxa"/>
          </w:tcPr>
          <w:p>
            <w:r>
              <w:t xml:space="preserve">129</w:t>
            </w:r>
          </w:p>
        </w:tc>
        <w:tc>
          <w:tcPr>
            <w:tcW w:w="3120" w:type="dxa"/>
          </w:tcPr>
          <w:p>
            <w:r>
              <w:t xml:space="preserve">Schéma très chargé et redondant</w:t>
            </w:r>
          </w:p>
        </w:tc>
      </w:tr>
      <w:tr>
        <w:tc>
          <w:tcPr>
            <w:tcW w:w="3120" w:type="dxa"/>
          </w:tcPr>
          <w:p>
            <w:r>
              <w:t xml:space="preserve">DEP - Départements</w:t>
            </w:r>
          </w:p>
        </w:tc>
        <w:tc>
          <w:tcPr>
            <w:tcW w:w="3120" w:type="dxa"/>
          </w:tcPr>
          <w:p>
            <w:r>
              <w:t xml:space="preserve">101</w:t>
            </w:r>
          </w:p>
        </w:tc>
        <w:tc>
          <w:tcPr>
            <w:tcW w:w="3120" w:type="dxa"/>
          </w:tcPr>
          <w:p>
            <w:r>
              <w:t xml:space="preserve">Plusieurs types de données à corriger</w:t>
            </w:r>
          </w:p>
        </w:tc>
      </w:tr>
    </w:tbl>
    <w:p/>
    <w:p>
      <w:pPr>
        <w:pStyle w:val="Heading2"/>
      </w:pPr>
      <w:r>
        <w:t xml:space="preserve">3. Constats critiques</w:t>
      </w:r>
    </w:p>
    <w:p>
      <w:pPr>
        <w:pStyle w:val="Heading3"/>
      </w:pPr>
      <w:r>
        <w:t xml:space="preserve">3.1 Référentiel des villes trop fragmenté</w:t>
      </w:r>
    </w:p>
    <w:p>
      <w:pPr>
        <w:pStyle w:val="Normal"/>
      </w:pPr>
      <w:r>
        <w:t xml:space="preserve">Les 20 listes VIL utilisent le même schéma. Dix-neuf sont vides, tandis que VIL - Europe Ouest contient 9 450 lignes. Cette architecture multiplie les vues, droits, automatisations et opérations de maintenance.</w:t>
      </w:r>
    </w:p>
    <w:p>
      <w:pPr>
        <w:pStyle w:val="Normal"/>
      </w:pPr>
      <w:r>
        <w:rPr>
          <w:b/>
        </w:rPr>
        <w:t xml:space="preserve">Action recommandée :</w:t>
      </w:r>
      <w:r>
        <w:t xml:space="preserve"> créer une liste unique </w:t>
      </w:r>
      <w:r>
        <w:rPr>
          <w:b/>
        </w:rPr>
        <w:t xml:space="preserve">VIL - Villes</w:t>
      </w:r>
      <w:r>
        <w:t xml:space="preserve"> avec des colonnes Zone, Continent, Pays, Région et Département. Migrer Europe Ouest, tester les contrôles, puis archiver les listes vides. Ajouter des index sur VilleIDPermanent, CodeVille, Pays, Région, Département et Zone.</w:t>
      </w:r>
    </w:p>
    <w:p>
      <w:pPr>
        <w:pStyle w:val="Heading3"/>
      </w:pPr>
      <w:r>
        <w:t xml:space="preserve">3.2 Identifiants officiels sans unicité</w:t>
      </w:r>
    </w:p>
    <w:p>
      <w:pPr>
        <w:pStyle w:val="Normal"/>
      </w:pPr>
      <w:r>
        <w:t xml:space="preserve">Plusieurs colonnes présentées comme permanentes ou officielles ne font pas respecter l’unicité : CodeCompte, IDDepartement, CodeDepartement, IDPays, CodeISO2, CodeISO3, IDRegion, CodeRegion, CodeProjet, CodeDocument et CodeJournal.</w:t>
      </w:r>
    </w:p>
    <w:p>
      <w:pPr>
        <w:pStyle w:val="Normal"/>
      </w:pPr>
      <w:r>
        <w:rPr>
          <w:b/>
        </w:rPr>
        <w:t xml:space="preserve">Risque :</w:t>
      </w:r>
      <w:r>
        <w:t xml:space="preserve"> doublons, lookups ambigus, synchronisations instables et erreurs de rapprochement.</w:t>
      </w:r>
    </w:p>
    <w:p>
      <w:pPr>
        <w:pStyle w:val="Normal"/>
      </w:pPr>
      <w:r>
        <w:rPr>
          <w:b/>
        </w:rPr>
        <w:t xml:space="preserve">Action recommandée :</w:t>
      </w:r>
      <w:r>
        <w:t xml:space="preserve"> produire d’abord un rapport de doublons, corriger les collisions, puis activer </w:t>
      </w:r>
      <w:r>
        <w:rPr>
          <w:rStyle w:val="Code"/>
        </w:rPr>
        <w:t xml:space="preserve">enforceUniqueValues</w:t>
      </w:r>
      <w:r>
        <w:t xml:space="preserve"> sur les identifiants validés.</w:t>
      </w:r>
    </w:p>
    <w:p>
      <w:pPr>
        <w:pStyle w:val="Heading3"/>
      </w:pPr>
      <w:r>
        <w:t xml:space="preserve">3.3 Types de données inadaptés</w:t>
      </w:r>
    </w:p>
    <w:p>
      <w:pPr>
        <w:pStyle w:val="Normal"/>
      </w:pPr>
      <w:r>
        <w:t xml:space="preserve">Exemples relevés :</w:t>
      </w:r>
    </w:p>
    <w:p>
      <w:pPr>
        <w:pStyle w:val="ListParagraph"/>
        <w:numPr>
          <w:ilvl w:val="0"/>
          <w:numId w:val="1"/>
        </w:numPr>
      </w:pPr>
      <w:r>
        <w:t xml:space="preserve">Dates stockées en texte dans CLI - Comptes, DEP - Départements, DOC - Documents, JRN - Journal Global, PROJ - Projets et REG - Régions.</w:t>
      </w:r>
    </w:p>
    <w:p>
      <w:pPr>
        <w:pStyle w:val="ListParagraph"/>
        <w:numPr>
          <w:ilvl w:val="0"/>
          <w:numId w:val="1"/>
        </w:numPr>
      </w:pPr>
      <w:r>
        <w:t xml:space="preserve">Population, superficie, latitude et longitude stockées en texte dans DEP et REG, alors que les listes VIL utilisent des nombres.</w:t>
      </w:r>
    </w:p>
    <w:p>
      <w:pPr>
        <w:pStyle w:val="ListParagraph"/>
        <w:numPr>
          <w:ilvl w:val="0"/>
          <w:numId w:val="1"/>
        </w:numPr>
      </w:pPr>
      <w:r>
        <w:t xml:space="preserve">Sites web et liens stockés en texte dans plusieurs listes au lieu de colonnes URL.</w:t>
      </w:r>
    </w:p>
    <w:p>
      <w:pPr>
        <w:pStyle w:val="ListParagraph"/>
        <w:numPr>
          <w:ilvl w:val="0"/>
          <w:numId w:val="1"/>
        </w:numPr>
      </w:pPr>
      <w:r>
        <w:t xml:space="preserve">Validé Par stocké en texte dans DOC au lieu d’une colonne Personne.</w:t>
      </w:r>
    </w:p>
    <w:p>
      <w:pPr>
        <w:pStyle w:val="Normal"/>
      </w:pPr>
      <w:r>
        <w:rPr>
          <w:b/>
        </w:rPr>
        <w:t xml:space="preserve">Action recommandée :</w:t>
      </w:r>
      <w:r>
        <w:t xml:space="preserve"> créer de nouvelles colonnes typées, migrer et valider les valeurs, basculer les vues et automatisations, puis retirer les anciennes colonnes après une période de sécurité.</w:t>
      </w:r>
    </w:p>
    <w:p>
      <w:pPr>
        <w:pStyle w:val="Heading3"/>
      </w:pPr>
      <w:r>
        <w:t xml:space="preserve">3.4 Colonnes doublonnées et dette de migration</w:t>
      </w:r>
    </w:p>
    <w:p>
      <w:pPr>
        <w:pStyle w:val="ListParagraph"/>
        <w:numPr>
          <w:ilvl w:val="0"/>
          <w:numId w:val="1"/>
        </w:numPr>
      </w:pPr>
      <w:r>
        <w:rPr>
          <w:b/>
        </w:rPr>
        <w:t xml:space="preserve">CLI - Comptes :</w:t>
      </w:r>
      <w:r>
        <w:t xml:space="preserve"> ScoreCompletude / ScoreCompletudeDSE, TelephonePrincipal / Telephone, NotesCLI / NotesCompte, plusieurs variantes de type et statut.</w:t>
      </w:r>
    </w:p>
    <w:p>
      <w:pPr>
        <w:pStyle w:val="ListParagraph"/>
        <w:numPr>
          <w:ilvl w:val="0"/>
          <w:numId w:val="1"/>
        </w:numPr>
      </w:pPr>
      <w:r>
        <w:rPr>
          <w:b/>
        </w:rPr>
        <w:t xml:space="preserve">CLI - Relations :</w:t>
      </w:r>
      <w:r>
        <w:t xml:space="preserve"> ancien bloc Relation, bloc WordPress/synchronisation et nouveau bloc DSE en parallèle.</w:t>
      </w:r>
    </w:p>
    <w:p>
      <w:pPr>
        <w:pStyle w:val="ListParagraph"/>
        <w:numPr>
          <w:ilvl w:val="0"/>
          <w:numId w:val="1"/>
        </w:numPr>
      </w:pPr>
      <w:r>
        <w:rPr>
          <w:b/>
        </w:rPr>
        <w:t xml:space="preserve">DOC - Documents :</w:t>
      </w:r>
      <w:r>
        <w:t xml:space="preserve"> ProjetREF / ProjetPrincipal, CompteREF / ComptePrincipal, plusieurs statuts et scores.</w:t>
      </w:r>
    </w:p>
    <w:p>
      <w:pPr>
        <w:pStyle w:val="ListParagraph"/>
        <w:numPr>
          <w:ilvl w:val="0"/>
          <w:numId w:val="1"/>
        </w:numPr>
      </w:pPr>
      <w:r>
        <w:rPr>
          <w:b/>
        </w:rPr>
        <w:t xml:space="preserve">PROJ - Projets :</w:t>
      </w:r>
      <w:r>
        <w:t xml:space="preserve"> dates texte et nouvelles dates DateTime en parallèle, deux séries de scores et notes.</w:t>
      </w:r>
    </w:p>
    <w:p>
      <w:pPr>
        <w:pStyle w:val="ListParagraph"/>
        <w:numPr>
          <w:ilvl w:val="0"/>
          <w:numId w:val="1"/>
        </w:numPr>
      </w:pPr>
      <w:r>
        <w:rPr>
          <w:b/>
        </w:rPr>
        <w:t xml:space="preserve">JRN - Journal Global :</w:t>
      </w:r>
      <w:r>
        <w:t xml:space="preserve"> plusieurs séries presque identiques de champs d’exécution DSE.</w:t>
      </w:r>
    </w:p>
    <w:p>
      <w:pPr>
        <w:pStyle w:val="Normal"/>
      </w:pPr>
      <w:r>
        <w:rPr>
          <w:b/>
        </w:rPr>
        <w:t xml:space="preserve">Action recommandée :</w:t>
      </w:r>
      <w:r>
        <w:t xml:space="preserve"> établir pour chaque liste un dictionnaire de données indiquant la colonne canonique, la colonne à migrer et la colonne à supprimer ou masquer.</w:t>
      </w:r>
    </w:p>
    <w:p>
      <w:pPr>
        <w:pStyle w:val="Heading3"/>
      </w:pPr>
      <w:r>
        <w:t xml:space="preserve">3.5 Lookups à vérifier</w:t>
      </w:r>
    </w:p>
    <w:p>
      <w:pPr>
        <w:pStyle w:val="Normal"/>
      </w:pPr>
      <w:r>
        <w:t xml:space="preserve">Des lookups ciblent des listes non présentes dans l’inventaire utilisateur : Continent, Échange, Liaison Compte et Configuration Teams SharePoint. La colonne Client de CLI - Relations est un lookup sans cible visible.</w:t>
      </w:r>
    </w:p>
    <w:p>
      <w:pPr>
        <w:pStyle w:val="Normal"/>
      </w:pPr>
      <w:r>
        <w:rPr>
          <w:b/>
        </w:rPr>
        <w:t xml:space="preserve">Action recommandée :</w:t>
      </w:r>
      <w:r>
        <w:t xml:space="preserve"> vérifier si les listes cibles sont masquées, supprimées ou situées ailleurs. Corriger chaque lookup cassé avant toute migration ou nouvelle automatisation.</w:t>
      </w:r>
    </w:p>
    <w:p>
      <w:pPr>
        <w:pStyle w:val="Heading3"/>
      </w:pPr>
      <w:r>
        <w:t xml:space="preserve">3.6 Vues obsolètes</w:t>
      </w:r>
    </w:p>
    <w:p>
      <w:pPr>
        <w:pStyle w:val="Normal"/>
      </w:pPr>
      <w:r>
        <w:t xml:space="preserve">Plusieurs vues référencent des champs absents du schéma visible, par exemple AncienneValeur dans JRN, Order dans REF-N-02 et REF-N-03, Score</w:t>
      </w:r>
      <w:r>
        <w:t xml:space="preserve">_Completude dans CLI - Relations, ainsi qu’un ancien champ de référence dans REF-N-01.</w:t>
      </w:r>
    </w:p>
    <w:p>
      <w:pPr>
        <w:pStyle w:val="Normal"/>
      </w:pPr>
      <w:r>
        <w:rPr>
          <w:b/>
        </w:rPr>
        <w:t xml:space="preserve">Action recommandée :</w:t>
      </w:r>
      <w:r>
        <w:t xml:space="preserve"> ouvrir et tester chaque vue, supprimer les colonnes orphelines, réduire les vues par défaut trop larges et conserver une vue d’administration distincte.</w:t>
      </w:r>
    </w:p>
    <w:p>
      <w:pPr>
        <w:pStyle w:val="Heading3"/>
      </w:pPr>
      <w:r>
        <w:t xml:space="preserve">3.7 Gouvernance et sécurité documentaire</w:t>
      </w:r>
    </w:p>
    <w:p>
      <w:pPr>
        <w:pStyle w:val="Normal"/>
      </w:pPr>
      <w:r>
        <w:t xml:space="preserve">DOC - Documents et DSE - Coffre Ford ont des attributions de permissions uniques. DSE - Coffre Ford contient 644 éléments mais seulement les métadonnées standard Nom, Titre et Description.</w:t>
      </w:r>
    </w:p>
    <w:p>
      <w:pPr>
        <w:pStyle w:val="Normal"/>
      </w:pPr>
      <w:r>
        <w:rPr>
          <w:b/>
        </w:rPr>
        <w:t xml:space="preserve">Action recommandée :</w:t>
      </w:r>
      <w:r>
        <w:t xml:space="preserve"> auditer les groupes et accès directs, supprimer les partages individuels inutiles, désigner un propriétaire métier et ajouter au coffre des métadonnées minimales : catégorie, propriétaire, sensibilité, date d’expiration, statut et source.</w:t>
      </w:r>
    </w:p>
    <w:p>
      <w:pPr>
        <w:pStyle w:val="Heading2"/>
      </w:pPr>
      <w:r>
        <w:t xml:space="preserve">4. Automatisations</w:t>
      </w:r>
    </w:p>
    <w:p>
      <w:pPr>
        <w:pStyle w:val="Heading3"/>
      </w:pPr>
      <w:r>
        <w:t xml:space="preserve">État observé</w:t>
      </w:r>
    </w:p>
    <w:p>
      <w:pPr>
        <w:pStyle w:val="ListParagraph"/>
        <w:numPr>
          <w:ilvl w:val="0"/>
          <w:numId w:val="1"/>
        </w:numPr>
      </w:pPr>
      <w:r>
        <w:t xml:space="preserve">Aucune Rule détectée sur les listes et bibliothèques métier contrôlées.</w:t>
      </w:r>
    </w:p>
    <w:p>
      <w:pPr>
        <w:pStyle w:val="ListParagraph"/>
        <w:numPr>
          <w:ilvl w:val="0"/>
          <w:numId w:val="1"/>
        </w:numPr>
      </w:pPr>
      <w:r>
        <w:t xml:space="preserve">Aucun Quick Step détecté sur le périmètre métier contrôlé.</w:t>
      </w:r>
    </w:p>
    <w:p>
      <w:pPr>
        <w:pStyle w:val="ListParagraph"/>
        <w:numPr>
          <w:ilvl w:val="0"/>
          <w:numId w:val="1"/>
        </w:numPr>
      </w:pPr>
      <w:r>
        <w:t xml:space="preserve">Les approbations SharePoint intégrées sont désactivées sur tous les composants contrôlés, y compris DOC - Documents.</w:t>
      </w:r>
    </w:p>
    <w:p>
      <w:pPr>
        <w:pStyle w:val="ListParagraph"/>
        <w:numPr>
          <w:ilvl w:val="0"/>
          <w:numId w:val="1"/>
        </w:numPr>
      </w:pPr>
      <w:r>
        <w:t xml:space="preserve">Les flux Power Automate n’étaient pas exposés par les outils disponibles ; leur existence reste à vérifier dans le centre Power Automate.</w:t>
      </w:r>
    </w:p>
    <w:p>
      <w:pPr>
        <w:pStyle w:val="Heading3"/>
      </w:pPr>
      <w:r>
        <w:t xml:space="preserve">Automatisations recommandées</w:t>
      </w:r>
    </w:p>
    <w:p>
      <w:pPr>
        <w:pStyle w:val="ListParagraph"/>
        <w:numPr>
          <w:ilvl w:val="0"/>
          <w:numId w:val="2"/>
        </w:numPr>
      </w:pPr>
      <w:r>
        <w:rPr>
          <w:b/>
        </w:rPr>
        <w:t xml:space="preserve">Validation documentaire</w:t>
      </w:r>
    </w:p>
    <w:p>
      <w:pPr>
        <w:pStyle w:val="ListParagraph"/>
        <w:numPr>
          <w:ilvl w:val="0"/>
          <w:numId w:val="1"/>
        </w:numPr>
      </w:pPr>
      <w:r>
        <w:rPr>
          <w:b/>
        </w:rPr>
        <w:t xml:space="preserve">Mécanisme :</w:t>
      </w:r>
      <w:r>
        <w:t xml:space="preserve"> approbation native ou Workflow.</w:t>
      </w:r>
    </w:p>
    <w:p>
      <w:pPr>
        <w:pStyle w:val="ListParagraph"/>
        <w:numPr>
          <w:ilvl w:val="0"/>
          <w:numId w:val="1"/>
        </w:numPr>
      </w:pPr>
      <w:r>
        <w:rPr>
          <w:b/>
        </w:rPr>
        <w:t xml:space="preserve">Déclencheur :</w:t>
      </w:r>
      <w:r>
        <w:t xml:space="preserve"> nouveau document ou passage au statut « À valider ».</w:t>
      </w:r>
    </w:p>
    <w:p>
      <w:pPr>
        <w:pStyle w:val="ListParagraph"/>
        <w:numPr>
          <w:ilvl w:val="0"/>
          <w:numId w:val="1"/>
        </w:numPr>
      </w:pPr>
      <w:r>
        <w:rPr>
          <w:b/>
        </w:rPr>
        <w:t xml:space="preserve">Action :</w:t>
      </w:r>
      <w:r>
        <w:t xml:space="preserve"> approbation, journalisation, mise à jour du statut et notification.</w:t>
      </w:r>
    </w:p>
    <w:p>
      <w:pPr>
        <w:pStyle w:val="ListParagraph"/>
        <w:numPr>
          <w:ilvl w:val="0"/>
          <w:numId w:val="2"/>
        </w:numPr>
      </w:pPr>
      <w:r>
        <w:rPr>
          <w:b/>
        </w:rPr>
        <w:t xml:space="preserve">Contrôle de complétude</w:t>
      </w:r>
    </w:p>
    <w:p>
      <w:pPr>
        <w:pStyle w:val="ListParagraph"/>
        <w:numPr>
          <w:ilvl w:val="0"/>
          <w:numId w:val="1"/>
        </w:numPr>
      </w:pPr>
      <w:r>
        <w:rPr>
          <w:b/>
        </w:rPr>
        <w:t xml:space="preserve">Mécanisme :</w:t>
      </w:r>
      <w:r>
        <w:t xml:space="preserve"> Workflow automatique.</w:t>
      </w:r>
    </w:p>
    <w:p>
      <w:pPr>
        <w:pStyle w:val="ListParagraph"/>
        <w:numPr>
          <w:ilvl w:val="0"/>
          <w:numId w:val="1"/>
        </w:numPr>
      </w:pPr>
      <w:r>
        <w:rPr>
          <w:b/>
        </w:rPr>
        <w:t xml:space="preserve">Périmètre :</w:t>
      </w:r>
      <w:r>
        <w:t xml:space="preserve"> CLI, PROJ, DOC, PAY, REG, DEP et VIL.</w:t>
      </w:r>
    </w:p>
    <w:p>
      <w:pPr>
        <w:pStyle w:val="ListParagraph"/>
        <w:numPr>
          <w:ilvl w:val="0"/>
          <w:numId w:val="1"/>
        </w:numPr>
      </w:pPr>
      <w:r>
        <w:rPr>
          <w:b/>
        </w:rPr>
        <w:t xml:space="preserve">Action :</w:t>
      </w:r>
      <w:r>
        <w:t xml:space="preserve"> recalculer le score, renseigner les informations manquantes et alimenter une vue « À compléter ».</w:t>
      </w:r>
    </w:p>
    <w:p>
      <w:pPr>
        <w:pStyle w:val="ListParagraph"/>
        <w:numPr>
          <w:ilvl w:val="0"/>
          <w:numId w:val="2"/>
        </w:numPr>
      </w:pPr>
      <w:r>
        <w:rPr>
          <w:b/>
        </w:rPr>
        <w:t xml:space="preserve">Contrôle des doublons</w:t>
      </w:r>
    </w:p>
    <w:p>
      <w:pPr>
        <w:pStyle w:val="ListParagraph"/>
        <w:numPr>
          <w:ilvl w:val="0"/>
          <w:numId w:val="1"/>
        </w:numPr>
      </w:pPr>
      <w:r>
        <w:rPr>
          <w:b/>
        </w:rPr>
        <w:t xml:space="preserve">Mécanisme :</w:t>
      </w:r>
      <w:r>
        <w:t xml:space="preserve"> Workflow programmé.</w:t>
      </w:r>
    </w:p>
    <w:p>
      <w:pPr>
        <w:pStyle w:val="ListParagraph"/>
        <w:numPr>
          <w:ilvl w:val="0"/>
          <w:numId w:val="1"/>
        </w:numPr>
      </w:pPr>
      <w:r>
        <w:rPr>
          <w:b/>
        </w:rPr>
        <w:t xml:space="preserve">Action :</w:t>
      </w:r>
      <w:r>
        <w:t xml:space="preserve"> détecter les collisions d’identifiants et produire un journal d’anomalies sans supprimer automatiquement.</w:t>
      </w:r>
    </w:p>
    <w:p>
      <w:pPr>
        <w:pStyle w:val="ListParagraph"/>
        <w:numPr>
          <w:ilvl w:val="0"/>
          <w:numId w:val="2"/>
        </w:numPr>
      </w:pPr>
      <w:r>
        <w:rPr>
          <w:b/>
        </w:rPr>
        <w:t xml:space="preserve">Expiration et validité documentaire</w:t>
      </w:r>
    </w:p>
    <w:p>
      <w:pPr>
        <w:pStyle w:val="ListParagraph"/>
        <w:numPr>
          <w:ilvl w:val="0"/>
          <w:numId w:val="1"/>
        </w:numPr>
      </w:pPr>
      <w:r>
        <w:rPr>
          <w:b/>
        </w:rPr>
        <w:t xml:space="preserve">Mécanisme :</w:t>
      </w:r>
      <w:r>
        <w:t xml:space="preserve"> Workflow planifié.</w:t>
      </w:r>
    </w:p>
    <w:p>
      <w:pPr>
        <w:pStyle w:val="ListParagraph"/>
        <w:numPr>
          <w:ilvl w:val="0"/>
          <w:numId w:val="1"/>
        </w:numPr>
      </w:pPr>
      <w:r>
        <w:rPr>
          <w:b/>
        </w:rPr>
        <w:t xml:space="preserve">Action :</w:t>
      </w:r>
      <w:r>
        <w:t xml:space="preserve"> notification avant DateValidite, escalade au propriétaire, archivage contrôlé.</w:t>
      </w:r>
    </w:p>
    <w:p>
      <w:pPr>
        <w:pStyle w:val="ListParagraph"/>
        <w:numPr>
          <w:ilvl w:val="0"/>
          <w:numId w:val="2"/>
        </w:numPr>
      </w:pPr>
      <w:r>
        <w:rPr>
          <w:b/>
        </w:rPr>
        <w:t xml:space="preserve">Journalisation normalisée</w:t>
      </w:r>
    </w:p>
    <w:p>
      <w:pPr>
        <w:pStyle w:val="ListParagraph"/>
        <w:numPr>
          <w:ilvl w:val="0"/>
          <w:numId w:val="1"/>
        </w:numPr>
      </w:pPr>
      <w:r>
        <w:rPr>
          <w:b/>
        </w:rPr>
        <w:t xml:space="preserve">Mécanisme :</w:t>
      </w:r>
      <w:r>
        <w:t xml:space="preserve"> Workflow.</w:t>
      </w:r>
    </w:p>
    <w:p>
      <w:pPr>
        <w:pStyle w:val="ListParagraph"/>
        <w:numPr>
          <w:ilvl w:val="0"/>
          <w:numId w:val="1"/>
        </w:numPr>
      </w:pPr>
      <w:r>
        <w:rPr>
          <w:b/>
        </w:rPr>
        <w:t xml:space="preserve">Action :</w:t>
      </w:r>
      <w:r>
        <w:t xml:space="preserve"> écrire dans JRN - Journal Global avec un modèle unique, après nettoyage des champs d’exécution dupliqués.</w:t>
      </w:r>
    </w:p>
    <w:p>
      <w:pPr>
        <w:pStyle w:val="Heading2"/>
      </w:pPr>
      <w:r>
        <w:t xml:space="preserve">5. Plan d’action priorisé</w:t>
      </w:r>
    </w:p>
    <w:p>
      <w:pPr>
        <w:pStyle w:val="Heading3"/>
      </w:pPr>
      <w:r>
        <w:t xml:space="preserve">Priorité P0 — sous 7 jours</w:t>
      </w:r>
    </w:p>
    <w:p>
      <w:pPr>
        <w:pStyle w:val="ListParagraph"/>
        <w:numPr>
          <w:ilvl w:val="0"/>
          <w:numId w:val="2"/>
        </w:numPr>
      </w:pPr>
      <w:r>
        <w:t xml:space="preserve">Geler la création de nouvelles listes VIL régionales.</w:t>
      </w:r>
    </w:p>
    <w:p>
      <w:pPr>
        <w:pStyle w:val="ListParagraph"/>
        <w:numPr>
          <w:ilvl w:val="0"/>
          <w:numId w:val="2"/>
        </w:numPr>
      </w:pPr>
      <w:r>
        <w:t xml:space="preserve">Vérifier les lookups sans cible ou vers des listes absentes.</w:t>
      </w:r>
    </w:p>
    <w:p>
      <w:pPr>
        <w:pStyle w:val="ListParagraph"/>
        <w:numPr>
          <w:ilvl w:val="0"/>
          <w:numId w:val="2"/>
        </w:numPr>
      </w:pPr>
      <w:r>
        <w:t xml:space="preserve">Auditer les permissions uniques de DOC - Documents et DSE - Coffre Ford.</w:t>
      </w:r>
    </w:p>
    <w:p>
      <w:pPr>
        <w:pStyle w:val="ListParagraph"/>
        <w:numPr>
          <w:ilvl w:val="0"/>
          <w:numId w:val="2"/>
        </w:numPr>
      </w:pPr>
      <w:r>
        <w:t xml:space="preserve">Sauvegarder/exporter les schémas et dictionnaires avant modification.</w:t>
      </w:r>
    </w:p>
    <w:p>
      <w:pPr>
        <w:pStyle w:val="ListParagraph"/>
        <w:numPr>
          <w:ilvl w:val="0"/>
          <w:numId w:val="2"/>
        </w:numPr>
      </w:pPr>
      <w:r>
        <w:t xml:space="preserve">Identifier les colonnes canoniques dans CLI, Relations, DOC, PROJ et JRN.</w:t>
      </w:r>
    </w:p>
    <w:p>
      <w:pPr>
        <w:pStyle w:val="Heading3"/>
      </w:pPr>
      <w:r>
        <w:t xml:space="preserve">Priorité P1 — sous 30 jours</w:t>
      </w:r>
    </w:p>
    <w:p>
      <w:pPr>
        <w:pStyle w:val="ListParagraph"/>
        <w:numPr>
          <w:ilvl w:val="0"/>
          <w:numId w:val="2"/>
        </w:numPr>
      </w:pPr>
      <w:r>
        <w:t xml:space="preserve">Contrôler les doublons sur tous les identifiants officiels.</w:t>
      </w:r>
    </w:p>
    <w:p>
      <w:pPr>
        <w:pStyle w:val="ListParagraph"/>
        <w:numPr>
          <w:ilvl w:val="0"/>
          <w:numId w:val="2"/>
        </w:numPr>
      </w:pPr>
      <w:r>
        <w:t xml:space="preserve">Corriger les vues qui référencent des champs absents.</w:t>
      </w:r>
    </w:p>
    <w:p>
      <w:pPr>
        <w:pStyle w:val="ListParagraph"/>
        <w:numPr>
          <w:ilvl w:val="0"/>
          <w:numId w:val="2"/>
        </w:numPr>
      </w:pPr>
      <w:r>
        <w:t xml:space="preserve">Remplacer progressivement les dates et nombres stockés en texte.</w:t>
      </w:r>
    </w:p>
    <w:p>
      <w:pPr>
        <w:pStyle w:val="ListParagraph"/>
        <w:numPr>
          <w:ilvl w:val="0"/>
          <w:numId w:val="2"/>
        </w:numPr>
      </w:pPr>
      <w:r>
        <w:t xml:space="preserve">Créer la liste consolidée VIL - Villes et réaliser une migration pilote.</w:t>
      </w:r>
    </w:p>
    <w:p>
      <w:pPr>
        <w:pStyle w:val="ListParagraph"/>
        <w:numPr>
          <w:ilvl w:val="0"/>
          <w:numId w:val="2"/>
        </w:numPr>
      </w:pPr>
      <w:r>
        <w:t xml:space="preserve">Définir les propriétaires métier et techniques de chaque liste.</w:t>
      </w:r>
    </w:p>
    <w:p>
      <w:pPr>
        <w:pStyle w:val="Heading3"/>
      </w:pPr>
      <w:r>
        <w:t xml:space="preserve">Priorité P2 — sous 60 jours</w:t>
      </w:r>
    </w:p>
    <w:p>
      <w:pPr>
        <w:pStyle w:val="ListParagraph"/>
        <w:numPr>
          <w:ilvl w:val="0"/>
          <w:numId w:val="2"/>
        </w:numPr>
      </w:pPr>
      <w:r>
        <w:t xml:space="preserve">Activer l’unicité des identifiants validés.</w:t>
      </w:r>
    </w:p>
    <w:p>
      <w:pPr>
        <w:pStyle w:val="ListParagraph"/>
        <w:numPr>
          <w:ilvl w:val="0"/>
          <w:numId w:val="2"/>
        </w:numPr>
      </w:pPr>
      <w:r>
        <w:t xml:space="preserve">Finaliser la migration du référentiel VIL.</w:t>
      </w:r>
    </w:p>
    <w:p>
      <w:pPr>
        <w:pStyle w:val="ListParagraph"/>
        <w:numPr>
          <w:ilvl w:val="0"/>
          <w:numId w:val="2"/>
        </w:numPr>
      </w:pPr>
      <w:r>
        <w:t xml:space="preserve">Déployer le Workflow de complétude et de doublons.</w:t>
      </w:r>
    </w:p>
    <w:p>
      <w:pPr>
        <w:pStyle w:val="ListParagraph"/>
        <w:numPr>
          <w:ilvl w:val="0"/>
          <w:numId w:val="2"/>
        </w:numPr>
      </w:pPr>
      <w:r>
        <w:t xml:space="preserve">Mettre en place l’approbation documentaire.</w:t>
      </w:r>
    </w:p>
    <w:p>
      <w:pPr>
        <w:pStyle w:val="ListParagraph"/>
        <w:numPr>
          <w:ilvl w:val="0"/>
          <w:numId w:val="2"/>
        </w:numPr>
      </w:pPr>
      <w:r>
        <w:t xml:space="preserve">Normaliser les vues par défaut et les vues d’administration.</w:t>
      </w:r>
    </w:p>
    <w:p>
      <w:pPr>
        <w:pStyle w:val="Heading3"/>
      </w:pPr>
      <w:r>
        <w:t xml:space="preserve">Priorité P3 — sous 90 jours</w:t>
      </w:r>
    </w:p>
    <w:p>
      <w:pPr>
        <w:pStyle w:val="ListParagraph"/>
        <w:numPr>
          <w:ilvl w:val="0"/>
          <w:numId w:val="2"/>
        </w:numPr>
      </w:pPr>
      <w:r>
        <w:t xml:space="preserve">Archiver les listes vides devenues inutiles.</w:t>
      </w:r>
    </w:p>
    <w:p>
      <w:pPr>
        <w:pStyle w:val="ListParagraph"/>
        <w:numPr>
          <w:ilvl w:val="0"/>
          <w:numId w:val="2"/>
        </w:numPr>
      </w:pPr>
      <w:r>
        <w:t xml:space="preserve">Supprimer les colonnes héritées après validation et période de rétention.</w:t>
      </w:r>
    </w:p>
    <w:p>
      <w:pPr>
        <w:pStyle w:val="ListParagraph"/>
        <w:numPr>
          <w:ilvl w:val="0"/>
          <w:numId w:val="2"/>
        </w:numPr>
      </w:pPr>
      <w:r>
        <w:t xml:space="preserve">Mettre en place un audit mensuel : volumétrie, doublons, champs vides, liens cassés, accès directs et automatisations en erreur.</w:t>
      </w:r>
    </w:p>
    <w:p>
      <w:pPr>
        <w:pStyle w:val="ListParagraph"/>
        <w:numPr>
          <w:ilvl w:val="0"/>
          <w:numId w:val="2"/>
        </w:numPr>
      </w:pPr>
      <w:r>
        <w:t xml:space="preserve">Documenter le modèle cible et les règles de nommage.</w:t>
      </w:r>
    </w:p>
    <w:p>
      <w:pPr>
        <w:pStyle w:val="Heading2"/>
      </w:pPr>
      <w:r>
        <w:t xml:space="preserve">6. Recommandations par composant</w:t>
      </w:r>
    </w:p>
    <w:tbl>
      <w:tblPr>
        <w:tblStyle w:val="TableGrid"/>
        <w:tblW w:w="9360" w:type="dxa"/>
        <w:tblCellMar>
          <w:top w:w="108" w:type="dxa"/>
          <w:left w:w="108" w:type="dxa"/>
          <w:bottom w:w="108" w:type="dxa"/>
          <w:right w:w="108" w:type="dxa"/>
        </w:tblCellMar>
        <w:tblBorders>
          <w:top w:val="single" w:sz="4" w:color="9EADBA"/>
          <w:left w:val="single" w:sz="4" w:color="9EADBA"/>
          <w:bottom w:val="single" w:sz="4" w:color="9EADBA"/>
          <w:right w:val="single" w:sz="4" w:color="9EADBA"/>
          <w:insideH w:val="single" w:sz="4" w:color="9EADBA"/>
          <w:insideV w:val="single" w:sz="4" w:color="9EADBA"/>
        </w:tblBorders>
      </w:tblPr>
      <w:tblGrid>
        <w:gridCol w:w="3120"/>
        <w:gridCol w:w="3120"/>
        <w:gridCol w:w="3120"/>
      </w:tblGrid>
      <w:tr>
        <w:trPr>
          <w:tblHeader/>
        </w:trPr>
        <w:tc>
          <w:tcPr>
            <w:tcW w:w="3120" w:type="dxa"/>
            <w:shd w:val="clear" w:color="auto" w:fill="D9EAF7"/>
          </w:tcPr>
          <w:p>
            <w:r>
              <w:rPr>
                <w:b/>
              </w:rPr>
              <w:t xml:space="preserve">Composant</w:t>
            </w:r>
          </w:p>
        </w:tc>
        <w:tc>
          <w:tcPr>
            <w:tcW w:w="3120" w:type="dxa"/>
            <w:shd w:val="clear" w:color="auto" w:fill="D9EAF7"/>
          </w:tcPr>
          <w:p>
            <w:r>
              <w:rPr>
                <w:b/>
              </w:rPr>
              <w:t xml:space="preserve">Priorité</w:t>
            </w:r>
          </w:p>
        </w:tc>
        <w:tc>
          <w:tcPr>
            <w:tcW w:w="3120" w:type="dxa"/>
            <w:shd w:val="clear" w:color="auto" w:fill="D9EAF7"/>
          </w:tcPr>
          <w:p>
            <w:r>
              <w:rPr>
                <w:b/>
              </w:rPr>
              <w:t xml:space="preserve">Action principale</w:t>
            </w:r>
          </w:p>
        </w:tc>
      </w:tr>
      <w:tr>
        <w:tc>
          <w:tcPr>
            <w:tcW w:w="3120" w:type="dxa"/>
          </w:tcPr>
          <w:p>
            <w:r>
              <w:t xml:space="preserve">CLI - Comptes</w:t>
            </w:r>
          </w:p>
        </w:tc>
        <w:tc>
          <w:tcPr>
            <w:tcW w:w="3120" w:type="dxa"/>
          </w:tcPr>
          <w:p>
            <w:r>
              <w:t xml:space="preserve">P0</w:t>
            </w:r>
          </w:p>
        </w:tc>
        <w:tc>
          <w:tcPr>
            <w:tcW w:w="3120" w:type="dxa"/>
          </w:tcPr>
          <w:p>
            <w:r>
              <w:t xml:space="preserve">Dédupliquer le modèle, typer les dates, rendre CodeCompte unique</w:t>
            </w:r>
          </w:p>
        </w:tc>
      </w:tr>
      <w:tr>
        <w:tc>
          <w:tcPr>
            <w:tcW w:w="3120" w:type="dxa"/>
          </w:tcPr>
          <w:p>
            <w:r>
              <w:t xml:space="preserve">CLI - Relations</w:t>
            </w:r>
          </w:p>
        </w:tc>
        <w:tc>
          <w:tcPr>
            <w:tcW w:w="3120" w:type="dxa"/>
          </w:tcPr>
          <w:p>
            <w:r>
              <w:t xml:space="preserve">P0</w:t>
            </w:r>
          </w:p>
        </w:tc>
        <w:tc>
          <w:tcPr>
            <w:tcW w:w="3120" w:type="dxa"/>
          </w:tcPr>
          <w:p>
            <w:r>
              <w:t xml:space="preserve">Réparer le lookup Client et choisir le modèle canonique</w:t>
            </w:r>
          </w:p>
        </w:tc>
      </w:tr>
      <w:tr>
        <w:tc>
          <w:tcPr>
            <w:tcW w:w="3120" w:type="dxa"/>
          </w:tcPr>
          <w:p>
            <w:r>
              <w:t xml:space="preserve">DEP - Départements</w:t>
            </w:r>
          </w:p>
        </w:tc>
        <w:tc>
          <w:tcPr>
            <w:tcW w:w="3120" w:type="dxa"/>
          </w:tcPr>
          <w:p>
            <w:r>
              <w:t xml:space="preserve">P1</w:t>
            </w:r>
          </w:p>
        </w:tc>
        <w:tc>
          <w:tcPr>
            <w:tcW w:w="3120" w:type="dxa"/>
          </w:tcPr>
          <w:p>
            <w:r>
              <w:t xml:space="preserve">Rendre IDs/codes uniques et convertir nombres/dates</w:t>
            </w:r>
          </w:p>
        </w:tc>
      </w:tr>
      <w:tr>
        <w:tc>
          <w:tcPr>
            <w:tcW w:w="3120" w:type="dxa"/>
          </w:tcPr>
          <w:p>
            <w:r>
              <w:t xml:space="preserve">DOC - Documents</w:t>
            </w:r>
          </w:p>
        </w:tc>
        <w:tc>
          <w:tcPr>
            <w:tcW w:w="3120" w:type="dxa"/>
          </w:tcPr>
          <w:p>
            <w:r>
              <w:t xml:space="preserve">P0</w:t>
            </w:r>
          </w:p>
        </w:tc>
        <w:tc>
          <w:tcPr>
            <w:tcW w:w="3120" w:type="dxa"/>
          </w:tcPr>
          <w:p>
            <w:r>
              <w:t xml:space="preserve">Auditer les droits, dédupliquer les métadonnées, ajouter une approbation</w:t>
            </w:r>
          </w:p>
        </w:tc>
      </w:tr>
      <w:tr>
        <w:tc>
          <w:tcPr>
            <w:tcW w:w="3120" w:type="dxa"/>
          </w:tcPr>
          <w:p>
            <w:r>
              <w:t xml:space="preserve">DSE - Coffre Ford</w:t>
            </w:r>
          </w:p>
        </w:tc>
        <w:tc>
          <w:tcPr>
            <w:tcW w:w="3120" w:type="dxa"/>
          </w:tcPr>
          <w:p>
            <w:r>
              <w:t xml:space="preserve">P0</w:t>
            </w:r>
          </w:p>
        </w:tc>
        <w:tc>
          <w:tcPr>
            <w:tcW w:w="3120" w:type="dxa"/>
          </w:tcPr>
          <w:p>
            <w:r>
              <w:t xml:space="preserve">Auditer les droits et ajouter des métadonnées de gouvernance</w:t>
            </w:r>
          </w:p>
        </w:tc>
      </w:tr>
      <w:tr>
        <w:tc>
          <w:tcPr>
            <w:tcW w:w="3120" w:type="dxa"/>
          </w:tcPr>
          <w:p>
            <w:r>
              <w:t xml:space="preserve">JRN - Journal Global</w:t>
            </w:r>
          </w:p>
        </w:tc>
        <w:tc>
          <w:tcPr>
            <w:tcW w:w="3120" w:type="dxa"/>
          </w:tcPr>
          <w:p>
            <w:r>
              <w:t xml:space="preserve">P0</w:t>
            </w:r>
          </w:p>
        </w:tc>
        <w:tc>
          <w:tcPr>
            <w:tcW w:w="3120" w:type="dxa"/>
          </w:tcPr>
          <w:p>
            <w:r>
              <w:t xml:space="preserve">Supprimer les séries de champs d’exécution dupliquées</w:t>
            </w:r>
          </w:p>
        </w:tc>
      </w:tr>
      <w:tr>
        <w:tc>
          <w:tcPr>
            <w:tcW w:w="3120" w:type="dxa"/>
          </w:tcPr>
          <w:p>
            <w:r>
              <w:t xml:space="preserve">OBJ-OBJETS</w:t>
            </w:r>
          </w:p>
        </w:tc>
        <w:tc>
          <w:tcPr>
            <w:tcW w:w="3120" w:type="dxa"/>
          </w:tcPr>
          <w:p>
            <w:r>
              <w:t xml:space="preserve">P2</w:t>
            </w:r>
          </w:p>
        </w:tc>
        <w:tc>
          <w:tcPr>
            <w:tcW w:w="3120" w:type="dxa"/>
          </w:tcPr>
          <w:p>
            <w:r>
              <w:t xml:space="preserve">Conserver les contraintes uniques et documenter les lookups</w:t>
            </w:r>
          </w:p>
        </w:tc>
      </w:tr>
      <w:tr>
        <w:tc>
          <w:tcPr>
            <w:tcW w:w="3120" w:type="dxa"/>
          </w:tcPr>
          <w:p>
            <w:r>
              <w:t xml:space="preserve">PAY - Pays</w:t>
            </w:r>
          </w:p>
        </w:tc>
        <w:tc>
          <w:tcPr>
            <w:tcW w:w="3120" w:type="dxa"/>
          </w:tcPr>
          <w:p>
            <w:r>
              <w:t xml:space="preserve">P1</w:t>
            </w:r>
          </w:p>
        </w:tc>
        <w:tc>
          <w:tcPr>
            <w:tcW w:w="3120" w:type="dxa"/>
          </w:tcPr>
          <w:p>
            <w:r>
              <w:t xml:space="preserve">Rendre IDPays et codes ISO uniques après contrôle</w:t>
            </w:r>
          </w:p>
        </w:tc>
      </w:tr>
      <w:tr>
        <w:tc>
          <w:tcPr>
            <w:tcW w:w="3120" w:type="dxa"/>
          </w:tcPr>
          <w:p>
            <w:r>
              <w:t xml:space="preserve">PROJ - Projets</w:t>
            </w:r>
          </w:p>
        </w:tc>
        <w:tc>
          <w:tcPr>
            <w:tcW w:w="3120" w:type="dxa"/>
          </w:tcPr>
          <w:p>
            <w:r>
              <w:t xml:space="preserve">P1</w:t>
            </w:r>
          </w:p>
        </w:tc>
        <w:tc>
          <w:tcPr>
            <w:tcW w:w="3120" w:type="dxa"/>
          </w:tcPr>
          <w:p>
            <w:r>
              <w:t xml:space="preserve">Décider du lancement ou de l’archivage ; remplacer les dates texte</w:t>
            </w:r>
          </w:p>
        </w:tc>
      </w:tr>
      <w:tr>
        <w:tc>
          <w:tcPr>
            <w:tcW w:w="3120" w:type="dxa"/>
          </w:tcPr>
          <w:p>
            <w:r>
              <w:t xml:space="preserve">REF - Referentiels</w:t>
            </w:r>
          </w:p>
        </w:tc>
        <w:tc>
          <w:tcPr>
            <w:tcW w:w="3120" w:type="dxa"/>
          </w:tcPr>
          <w:p>
            <w:r>
              <w:t xml:space="preserve">P0</w:t>
            </w:r>
          </w:p>
        </w:tc>
        <w:tc>
          <w:tcPr>
            <w:tcW w:w="3120" w:type="dxa"/>
          </w:tcPr>
          <w:p>
            <w:r>
              <w:t xml:space="preserve">Simplifier le modèle et supprimer les vues de migration obsolètes</w:t>
            </w:r>
          </w:p>
        </w:tc>
      </w:tr>
      <w:tr>
        <w:tc>
          <w:tcPr>
            <w:tcW w:w="3120" w:type="dxa"/>
          </w:tcPr>
          <w:p>
            <w:r>
              <w:t xml:space="preserve">REF-N-01/02/03</w:t>
            </w:r>
          </w:p>
        </w:tc>
        <w:tc>
          <w:tcPr>
            <w:tcW w:w="3120" w:type="dxa"/>
          </w:tcPr>
          <w:p>
            <w:r>
              <w:t xml:space="preserve">P1</w:t>
            </w:r>
          </w:p>
        </w:tc>
        <w:tc>
          <w:tcPr>
            <w:tcW w:w="3120" w:type="dxa"/>
          </w:tcPr>
          <w:p>
            <w:r>
              <w:t xml:space="preserve">Corriger les vues, valider les relations hiérarchiques</w:t>
            </w:r>
          </w:p>
        </w:tc>
      </w:tr>
      <w:tr>
        <w:tc>
          <w:tcPr>
            <w:tcW w:w="3120" w:type="dxa"/>
          </w:tcPr>
          <w:p>
            <w:r>
              <w:t xml:space="preserve">REG - Régions</w:t>
            </w:r>
          </w:p>
        </w:tc>
        <w:tc>
          <w:tcPr>
            <w:tcW w:w="3120" w:type="dxa"/>
          </w:tcPr>
          <w:p>
            <w:r>
              <w:t xml:space="preserve">P1</w:t>
            </w:r>
          </w:p>
        </w:tc>
        <w:tc>
          <w:tcPr>
            <w:tcW w:w="3120" w:type="dxa"/>
          </w:tcPr>
          <w:p>
            <w:r>
              <w:t xml:space="preserve">Convertir population/superficie/coordonnées et sécuriser les codes</w:t>
            </w:r>
          </w:p>
        </w:tc>
      </w:tr>
      <w:tr>
        <w:tc>
          <w:tcPr>
            <w:tcW w:w="3120" w:type="dxa"/>
          </w:tcPr>
          <w:p>
            <w:r>
              <w:t xml:space="preserve">VIL - Europe Ouest</w:t>
            </w:r>
          </w:p>
        </w:tc>
        <w:tc>
          <w:tcPr>
            <w:tcW w:w="3120" w:type="dxa"/>
          </w:tcPr>
          <w:p>
            <w:r>
              <w:t xml:space="preserve">P0</w:t>
            </w:r>
          </w:p>
        </w:tc>
        <w:tc>
          <w:tcPr>
            <w:tcW w:w="3120" w:type="dxa"/>
          </w:tcPr>
          <w:p>
            <w:r>
              <w:t xml:space="preserve">Indexer, vérifier les doublons et préparer la consolidation</w:t>
            </w:r>
          </w:p>
        </w:tc>
      </w:tr>
      <w:tr>
        <w:tc>
          <w:tcPr>
            <w:tcW w:w="3120" w:type="dxa"/>
          </w:tcPr>
          <w:p>
            <w:r>
              <w:t xml:space="preserve">19 listes VIL vides</w:t>
            </w:r>
          </w:p>
        </w:tc>
        <w:tc>
          <w:tcPr>
            <w:tcW w:w="3120" w:type="dxa"/>
          </w:tcPr>
          <w:p>
            <w:r>
              <w:t xml:space="preserve">P1</w:t>
            </w:r>
          </w:p>
        </w:tc>
        <w:tc>
          <w:tcPr>
            <w:tcW w:w="3120" w:type="dxa"/>
          </w:tcPr>
          <w:p>
            <w:r>
              <w:t xml:space="preserve">Ne pas alimenter ; migrer vers une liste unique puis archiver</w:t>
            </w:r>
          </w:p>
        </w:tc>
      </w:tr>
      <w:tr>
        <w:tc>
          <w:tcPr>
            <w:tcW w:w="3120" w:type="dxa"/>
          </w:tcPr>
          <w:p>
            <w:r>
              <w:t xml:space="preserve">REF-Matrice des accès et groupe</w:t>
            </w:r>
          </w:p>
        </w:tc>
        <w:tc>
          <w:tcPr>
            <w:tcW w:w="3120" w:type="dxa"/>
          </w:tcPr>
          <w:p>
            <w:r>
              <w:t xml:space="preserve">P1</w:t>
            </w:r>
          </w:p>
        </w:tc>
        <w:tc>
          <w:tcPr>
            <w:tcW w:w="3120" w:type="dxa"/>
          </w:tcPr>
          <w:p>
            <w:r>
              <w:t xml:space="preserve">Ajouter propriétaire Personne, date de revue et fréquence de contrôle</w:t>
            </w:r>
          </w:p>
        </w:tc>
      </w:tr>
      <w:tr>
        <w:tc>
          <w:tcPr>
            <w:tcW w:w="3120" w:type="dxa"/>
          </w:tcPr>
          <w:p>
            <w:r>
              <w:t xml:space="preserve">ZZ-ARCHIVE-DSE-Ressources d’assistant</w:t>
            </w:r>
          </w:p>
        </w:tc>
        <w:tc>
          <w:tcPr>
            <w:tcW w:w="3120" w:type="dxa"/>
          </w:tcPr>
          <w:p>
            <w:r>
              <w:t xml:space="preserve">P2</w:t>
            </w:r>
          </w:p>
        </w:tc>
        <w:tc>
          <w:tcPr>
            <w:tcW w:w="3120" w:type="dxa"/>
          </w:tcPr>
          <w:p>
            <w:r>
              <w:t xml:space="preserve">Confirmer son statut d’archive et sa politique de conservation</w:t>
            </w:r>
          </w:p>
        </w:tc>
      </w:tr>
    </w:tbl>
    <w:p/>
    <w:p>
      <w:pPr>
        <w:pStyle w:val="Heading2"/>
      </w:pPr>
      <w:r>
        <w:t xml:space="preserve">7. Limites de l’audit</w:t>
      </w:r>
    </w:p>
    <w:p>
      <w:pPr>
        <w:pStyle w:val="Normal"/>
      </w:pPr>
      <w:r>
        <w:t xml:space="preserve">L’audit couvre l’inventaire utilisateur, les schémas, paramètres de version, vues, volumétrie, Rules, Quick Steps et approbations natives visibles. Il ne couvre pas encore en profondeur : les valeurs de chaque ligne, les permissions nominatives complètes, les flux Power Automate, les stratégies de rétention Microsoft Purview, les labels de sensibilité et les dépendances Power Apps/Power BI.</w:t>
      </w:r>
    </w:p>
    <w:p>
      <w:pPr>
        <w:pStyle w:val="Heading2"/>
      </w:pPr>
      <w:r>
        <w:t xml:space="preserve">8. Décision recommandée</w:t>
      </w:r>
    </w:p>
    <w:p>
      <w:pPr>
        <w:pStyle w:val="Normal"/>
      </w:pPr>
      <w:r>
        <w:t xml:space="preserve">Valider un chantier en trois lots :</w:t>
      </w:r>
    </w:p>
    <w:p>
      <w:pPr>
        <w:pStyle w:val="ListParagraph"/>
        <w:numPr>
          <w:ilvl w:val="0"/>
          <w:numId w:val="2"/>
        </w:numPr>
      </w:pPr>
      <w:r>
        <w:rPr>
          <w:b/>
        </w:rPr>
        <w:t xml:space="preserve">Sécurisation immédiate :</w:t>
      </w:r>
      <w:r>
        <w:t xml:space="preserve"> droits, lookups et vues cassées.</w:t>
      </w:r>
    </w:p>
    <w:p>
      <w:pPr>
        <w:pStyle w:val="ListParagraph"/>
        <w:numPr>
          <w:ilvl w:val="0"/>
          <w:numId w:val="2"/>
        </w:numPr>
      </w:pPr>
      <w:r>
        <w:rPr>
          <w:b/>
        </w:rPr>
        <w:t xml:space="preserve">Qualité du modèle :</w:t>
      </w:r>
      <w:r>
        <w:t xml:space="preserve"> unicité, types, suppression des doublons de colonnes.</w:t>
      </w:r>
    </w:p>
    <w:p>
      <w:pPr>
        <w:pStyle w:val="ListParagraph"/>
        <w:numPr>
          <w:ilvl w:val="0"/>
          <w:numId w:val="2"/>
        </w:numPr>
      </w:pPr>
      <w:r>
        <w:rPr>
          <w:b/>
        </w:rPr>
        <w:t xml:space="preserve">Simplification et automatisation :</w:t>
      </w:r>
      <w:r>
        <w:t xml:space="preserve"> consolidation VIL, approbation DOC et contrôles programmés.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ED1F3404-7659-439E-A396-6997FCE98E2F}"/>
</file>

<file path=customXml/itemProps2.xml><?xml version="1.0" encoding="utf-8"?>
<ds:datastoreItem xmlns:ds="http://schemas.openxmlformats.org/officeDocument/2006/customXml" ds:itemID="{27D53514-D583-4B68-B866-7D45CC69F853}"/>
</file>

<file path=customXml/itemProps3.xml><?xml version="1.0" encoding="utf-8"?>
<ds:datastoreItem xmlns:ds="http://schemas.openxmlformats.org/officeDocument/2006/customXml" ds:itemID="{BDD94AE1-A67C-4948-8CCC-1ADA51CC073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y fmtid="{D5CDD505-2E9C-101B-9397-08002B2CF9AE}" pid="4" name="docLang">
    <vt:lpwstr>fr</vt:lpwstr>
  </property>
  <property fmtid="{D5CDD505-2E9C-101B-9397-08002B2CF9AE}" pid="5" name="MediaServiceImageTags">
    <vt:lpwstr/>
  </property>
</Properties>
</file>